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B19" w:rsidRPr="00EA27F0" w:rsidRDefault="00056B19" w:rsidP="00056B19">
      <w:pPr>
        <w:pStyle w:val="normal0"/>
        <w:tabs>
          <w:tab w:val="left" w:pos="3600"/>
        </w:tabs>
        <w:overflowPunct/>
        <w:autoSpaceDE/>
        <w:autoSpaceDN/>
        <w:adjustRightInd/>
        <w:spacing w:after="0" w:line="312" w:lineRule="atLeast"/>
        <w:textAlignment w:val="auto"/>
        <w:rPr>
          <w:rFonts w:eastAsia="Times New Roman"/>
          <w:sz w:val="21"/>
          <w:szCs w:val="21"/>
          <w:lang w:val="en-US"/>
        </w:rPr>
      </w:pPr>
      <w:r w:rsidRPr="00EA27F0">
        <w:rPr>
          <w:rFonts w:eastAsia="Times New Roman"/>
          <w:sz w:val="21"/>
          <w:szCs w:val="21"/>
          <w:lang w:val="en-US"/>
        </w:rPr>
        <w:t>INTERNATIONAL CONFERENCE ON HARMONISATION OF TECHNICAL REQUIREMENTS FOR REGISTRATION OF PHARMACEUTICALS FOR HUMAN USE</w:t>
      </w:r>
    </w:p>
    <w:p w:rsidR="00056B19" w:rsidRDefault="00056B19">
      <w:pPr>
        <w:autoSpaceDE w:val="0"/>
        <w:autoSpaceDN w:val="0"/>
        <w:adjustRightInd w:val="0"/>
        <w:spacing w:line="360" w:lineRule="auto"/>
        <w:jc w:val="center"/>
        <w:textAlignment w:val="bottom"/>
        <w:rPr>
          <w:rFonts w:ascii="Century Schoolbook" w:hAnsi="Century Schoolbook"/>
          <w:b/>
          <w:bCs/>
          <w:kern w:val="0"/>
          <w:sz w:val="28"/>
          <w:szCs w:val="28"/>
        </w:rPr>
      </w:pPr>
    </w:p>
    <w:p w:rsidR="00056B19" w:rsidRDefault="00056B19">
      <w:pPr>
        <w:autoSpaceDE w:val="0"/>
        <w:autoSpaceDN w:val="0"/>
        <w:adjustRightInd w:val="0"/>
        <w:spacing w:line="360" w:lineRule="auto"/>
        <w:jc w:val="center"/>
        <w:textAlignment w:val="bottom"/>
        <w:rPr>
          <w:rFonts w:ascii="Century Schoolbook" w:hAnsi="Century Schoolbook"/>
          <w:b/>
          <w:bCs/>
          <w:kern w:val="0"/>
          <w:sz w:val="28"/>
          <w:szCs w:val="28"/>
        </w:rPr>
      </w:pPr>
    </w:p>
    <w:p w:rsidR="00056B19" w:rsidRPr="00E14A55" w:rsidRDefault="00056B19" w:rsidP="00056B19">
      <w:pPr>
        <w:pStyle w:val="hd"/>
        <w:tabs>
          <w:tab w:val="left" w:pos="737"/>
        </w:tabs>
        <w:rPr>
          <w:sz w:val="24"/>
          <w:szCs w:val="24"/>
        </w:rPr>
      </w:pPr>
      <w:r w:rsidRPr="00DA0F75">
        <w:rPr>
          <w:sz w:val="24"/>
          <w:szCs w:val="24"/>
        </w:rPr>
        <w:t>ICH Harmonised Tripartite Guideline</w:t>
      </w:r>
      <w:r w:rsidRPr="00E14A55" w:rsidDel="00E14A55">
        <w:rPr>
          <w:sz w:val="24"/>
          <w:szCs w:val="24"/>
        </w:rPr>
        <w:t xml:space="preserve"> </w:t>
      </w:r>
    </w:p>
    <w:p w:rsidR="001D26BE" w:rsidRDefault="001D26BE">
      <w:pPr>
        <w:autoSpaceDE w:val="0"/>
        <w:autoSpaceDN w:val="0"/>
        <w:adjustRightInd w:val="0"/>
        <w:spacing w:line="360" w:lineRule="auto"/>
        <w:jc w:val="left"/>
        <w:textAlignment w:val="bottom"/>
        <w:rPr>
          <w:rFonts w:ascii="Century Schoolbook" w:hAnsi="Century Schoolbook"/>
          <w:kern w:val="0"/>
        </w:rPr>
      </w:pPr>
    </w:p>
    <w:p w:rsidR="00056B19" w:rsidRPr="000C2BE9" w:rsidRDefault="00056B19">
      <w:pPr>
        <w:autoSpaceDE w:val="0"/>
        <w:autoSpaceDN w:val="0"/>
        <w:adjustRightInd w:val="0"/>
        <w:spacing w:line="360" w:lineRule="auto"/>
        <w:jc w:val="left"/>
        <w:textAlignment w:val="bottom"/>
        <w:rPr>
          <w:rFonts w:ascii="Century Schoolbook" w:hAnsi="Century Schoolbook"/>
          <w:kern w:val="0"/>
        </w:rPr>
      </w:pPr>
    </w:p>
    <w:p w:rsidR="001D26BE" w:rsidRPr="00087AA6" w:rsidRDefault="001D26BE" w:rsidP="006E7FCE">
      <w:pPr>
        <w:autoSpaceDE w:val="0"/>
        <w:autoSpaceDN w:val="0"/>
        <w:adjustRightInd w:val="0"/>
        <w:ind w:left="-180" w:right="-276"/>
        <w:jc w:val="center"/>
        <w:textAlignment w:val="bottom"/>
        <w:rPr>
          <w:rFonts w:ascii="Century Schoolbook" w:hAnsi="Century Schoolbook"/>
          <w:b/>
          <w:bCs/>
          <w:smallCaps/>
          <w:kern w:val="0"/>
          <w:sz w:val="32"/>
          <w:szCs w:val="32"/>
        </w:rPr>
      </w:pPr>
      <w:r w:rsidRPr="00087AA6">
        <w:rPr>
          <w:rFonts w:ascii="Century Schoolbook" w:hAnsi="Century Schoolbook"/>
          <w:b/>
          <w:bCs/>
          <w:smallCaps/>
          <w:kern w:val="0"/>
          <w:sz w:val="32"/>
          <w:szCs w:val="32"/>
        </w:rPr>
        <w:t>Guida</w:t>
      </w:r>
      <w:r w:rsidR="00087AA6" w:rsidRPr="00087AA6">
        <w:rPr>
          <w:rFonts w:ascii="Century Schoolbook" w:hAnsi="Century Schoolbook"/>
          <w:b/>
          <w:bCs/>
          <w:smallCaps/>
          <w:kern w:val="0"/>
          <w:sz w:val="32"/>
          <w:szCs w:val="32"/>
        </w:rPr>
        <w:t xml:space="preserve">nce on </w:t>
      </w:r>
      <w:proofErr w:type="spellStart"/>
      <w:r w:rsidR="00087AA6" w:rsidRPr="00087AA6">
        <w:rPr>
          <w:rFonts w:ascii="Century Schoolbook" w:hAnsi="Century Schoolbook"/>
          <w:b/>
          <w:bCs/>
          <w:smallCaps/>
          <w:kern w:val="0"/>
          <w:sz w:val="32"/>
          <w:szCs w:val="32"/>
        </w:rPr>
        <w:t>Genotoxicity</w:t>
      </w:r>
      <w:proofErr w:type="spellEnd"/>
      <w:r w:rsidR="00087AA6" w:rsidRPr="00087AA6">
        <w:rPr>
          <w:rFonts w:ascii="Century Schoolbook" w:hAnsi="Century Schoolbook"/>
          <w:b/>
          <w:bCs/>
          <w:smallCaps/>
          <w:kern w:val="0"/>
          <w:sz w:val="32"/>
          <w:szCs w:val="32"/>
        </w:rPr>
        <w:t xml:space="preserve"> Testing and</w:t>
      </w:r>
      <w:r w:rsidR="00087AA6" w:rsidRPr="00087AA6">
        <w:rPr>
          <w:rFonts w:ascii="Century Schoolbook" w:hAnsi="Century Schoolbook"/>
          <w:b/>
          <w:bCs/>
          <w:smallCaps/>
          <w:kern w:val="0"/>
          <w:sz w:val="32"/>
          <w:szCs w:val="32"/>
        </w:rPr>
        <w:br/>
      </w:r>
      <w:r w:rsidR="00087AA6">
        <w:rPr>
          <w:rFonts w:ascii="Century Schoolbook" w:hAnsi="Century Schoolbook"/>
          <w:b/>
          <w:bCs/>
          <w:smallCaps/>
          <w:kern w:val="0"/>
          <w:sz w:val="32"/>
          <w:szCs w:val="32"/>
        </w:rPr>
        <w:t>Data Interpretation for</w:t>
      </w:r>
      <w:r w:rsidR="00087AA6">
        <w:rPr>
          <w:rFonts w:ascii="Century Schoolbook" w:hAnsi="Century Schoolbook"/>
          <w:b/>
          <w:bCs/>
          <w:smallCaps/>
          <w:kern w:val="0"/>
          <w:sz w:val="32"/>
          <w:szCs w:val="32"/>
        </w:rPr>
        <w:br/>
      </w:r>
      <w:r w:rsidRPr="00087AA6">
        <w:rPr>
          <w:rFonts w:ascii="Century Schoolbook" w:hAnsi="Century Schoolbook"/>
          <w:b/>
          <w:bCs/>
          <w:smallCaps/>
          <w:kern w:val="0"/>
          <w:sz w:val="32"/>
          <w:szCs w:val="32"/>
        </w:rPr>
        <w:t>Pharmaceuticals Intended for Human Use</w:t>
      </w:r>
    </w:p>
    <w:p w:rsidR="00056B19" w:rsidRPr="00056B19" w:rsidRDefault="00056B19" w:rsidP="00056B19">
      <w:pPr>
        <w:autoSpaceDE w:val="0"/>
        <w:autoSpaceDN w:val="0"/>
        <w:adjustRightInd w:val="0"/>
        <w:jc w:val="center"/>
        <w:textAlignment w:val="bottom"/>
        <w:rPr>
          <w:rFonts w:ascii="Century Schoolbook" w:hAnsi="Century Schoolbook"/>
          <w:b/>
          <w:bCs/>
          <w:smallCaps/>
          <w:kern w:val="0"/>
          <w:sz w:val="32"/>
          <w:szCs w:val="32"/>
        </w:rPr>
      </w:pPr>
    </w:p>
    <w:p w:rsidR="001D26BE" w:rsidRPr="00056B19" w:rsidRDefault="001D26BE">
      <w:pPr>
        <w:autoSpaceDE w:val="0"/>
        <w:autoSpaceDN w:val="0"/>
        <w:adjustRightInd w:val="0"/>
        <w:spacing w:line="360" w:lineRule="auto"/>
        <w:jc w:val="center"/>
        <w:textAlignment w:val="bottom"/>
        <w:rPr>
          <w:rFonts w:ascii="Century Schoolbook" w:hAnsi="Century Schoolbook"/>
          <w:b/>
          <w:bCs/>
          <w:smallCaps/>
          <w:kern w:val="0"/>
          <w:sz w:val="32"/>
          <w:szCs w:val="32"/>
        </w:rPr>
      </w:pPr>
      <w:proofErr w:type="gramStart"/>
      <w:r w:rsidRPr="00056B19">
        <w:rPr>
          <w:rFonts w:ascii="Century Schoolbook" w:hAnsi="Century Schoolbook"/>
          <w:b/>
          <w:bCs/>
          <w:smallCaps/>
          <w:kern w:val="0"/>
          <w:sz w:val="32"/>
          <w:szCs w:val="32"/>
        </w:rPr>
        <w:t>S2(</w:t>
      </w:r>
      <w:proofErr w:type="gramEnd"/>
      <w:r w:rsidRPr="00056B19">
        <w:rPr>
          <w:rFonts w:ascii="Century Schoolbook" w:hAnsi="Century Schoolbook"/>
          <w:b/>
          <w:bCs/>
          <w:smallCaps/>
          <w:kern w:val="0"/>
          <w:sz w:val="32"/>
          <w:szCs w:val="32"/>
        </w:rPr>
        <w:t>R1)</w:t>
      </w:r>
    </w:p>
    <w:p w:rsidR="004E0259" w:rsidRDefault="004E0259" w:rsidP="004E0259"/>
    <w:p w:rsidR="004E0259" w:rsidRDefault="004E0259" w:rsidP="004E0259"/>
    <w:p w:rsidR="004E0259" w:rsidRDefault="004E0259" w:rsidP="004E0259"/>
    <w:p w:rsidR="006E7FCE" w:rsidRPr="004259BF" w:rsidRDefault="006E7FCE" w:rsidP="006E7FCE">
      <w:pPr>
        <w:jc w:val="center"/>
      </w:pPr>
      <w:r w:rsidRPr="004259BF">
        <w:t xml:space="preserve">Current </w:t>
      </w:r>
      <w:r w:rsidRPr="004259BF">
        <w:rPr>
          <w:i/>
        </w:rPr>
        <w:t xml:space="preserve">Step </w:t>
      </w:r>
      <w:r>
        <w:rPr>
          <w:i/>
        </w:rPr>
        <w:t>4</w:t>
      </w:r>
      <w:r w:rsidRPr="004259BF">
        <w:t xml:space="preserve"> version</w:t>
      </w:r>
    </w:p>
    <w:p w:rsidR="006E7FCE" w:rsidRPr="004259BF" w:rsidRDefault="006E7FCE" w:rsidP="006E7FCE">
      <w:pPr>
        <w:jc w:val="center"/>
      </w:pPr>
      <w:proofErr w:type="gramStart"/>
      <w:r w:rsidRPr="004259BF">
        <w:t>dated</w:t>
      </w:r>
      <w:proofErr w:type="gramEnd"/>
      <w:r w:rsidRPr="004259BF">
        <w:t xml:space="preserve"> </w:t>
      </w:r>
      <w:r>
        <w:t>9 November 2011</w:t>
      </w:r>
    </w:p>
    <w:p w:rsidR="006E7FCE" w:rsidRPr="004259BF" w:rsidRDefault="006E7FCE" w:rsidP="006E7FCE"/>
    <w:p w:rsidR="006E7FCE" w:rsidRPr="004259BF" w:rsidRDefault="006E7FCE" w:rsidP="006E7FCE"/>
    <w:p w:rsidR="006E7FCE" w:rsidRPr="004E0259" w:rsidRDefault="006E7FCE" w:rsidP="006E7FCE">
      <w:pPr>
        <w:rPr>
          <w:sz w:val="72"/>
          <w:szCs w:val="72"/>
        </w:rPr>
      </w:pPr>
    </w:p>
    <w:p w:rsidR="006E7FCE" w:rsidRPr="004E0259" w:rsidRDefault="006E7FCE" w:rsidP="006E7FCE">
      <w:pPr>
        <w:rPr>
          <w:sz w:val="72"/>
          <w:szCs w:val="72"/>
        </w:rPr>
      </w:pPr>
    </w:p>
    <w:p w:rsidR="006E7FCE" w:rsidRPr="004E0259" w:rsidRDefault="006E7FCE" w:rsidP="006E7FCE">
      <w:pPr>
        <w:rPr>
          <w:sz w:val="72"/>
          <w:szCs w:val="72"/>
        </w:rPr>
      </w:pPr>
    </w:p>
    <w:p w:rsidR="006E7FCE" w:rsidRPr="004259BF" w:rsidRDefault="006E7FCE" w:rsidP="006E7FCE"/>
    <w:p w:rsidR="006E7FCE" w:rsidRPr="004259BF" w:rsidRDefault="006E7FCE" w:rsidP="006E7FCE"/>
    <w:p w:rsidR="006E7FCE" w:rsidRDefault="006E7FCE" w:rsidP="006E7FCE">
      <w:pPr>
        <w:rPr>
          <w:i/>
          <w:iCs/>
          <w:szCs w:val="22"/>
        </w:rPr>
      </w:pPr>
      <w:r w:rsidRPr="00E14A55">
        <w:rPr>
          <w:i/>
          <w:iCs/>
          <w:szCs w:val="22"/>
        </w:rPr>
        <w:t>This Guideline has been developed by the appropriate ICH Expert Working Group and has been subject to consultation by the regulatory parties, in accordance with the ICH Process. At Step 4 of the Process the final draft is recommended for adoption to the regulatory bodies of the European Union, Japan and USA.</w:t>
      </w:r>
    </w:p>
    <w:p w:rsidR="006E7FCE" w:rsidRDefault="006E7FCE" w:rsidP="006E7FCE">
      <w:pPr>
        <w:spacing w:before="800"/>
        <w:ind w:right="9"/>
        <w:jc w:val="center"/>
        <w:rPr>
          <w:b/>
        </w:rPr>
      </w:pPr>
      <w:r>
        <w:rPr>
          <w:i/>
          <w:iCs/>
          <w:szCs w:val="22"/>
        </w:rPr>
        <w:br w:type="page"/>
      </w:r>
      <w:proofErr w:type="gramStart"/>
      <w:r>
        <w:rPr>
          <w:b/>
        </w:rPr>
        <w:lastRenderedPageBreak/>
        <w:t>S2(</w:t>
      </w:r>
      <w:proofErr w:type="gramEnd"/>
      <w:r>
        <w:rPr>
          <w:b/>
        </w:rPr>
        <w:t>R1)</w:t>
      </w:r>
      <w:r>
        <w:rPr>
          <w:b/>
        </w:rPr>
        <w:br/>
        <w:t>Document History</w:t>
      </w:r>
    </w:p>
    <w:p w:rsidR="00311037" w:rsidRDefault="00311037" w:rsidP="00311037">
      <w:pPr>
        <w:spacing w:before="360"/>
        <w:ind w:right="14"/>
        <w:jc w:val="center"/>
        <w:rPr>
          <w:b/>
        </w:rPr>
      </w:pPr>
    </w:p>
    <w:p w:rsidR="006E7FCE" w:rsidRDefault="006E7FCE" w:rsidP="006E7FCE">
      <w:pPr>
        <w:ind w:right="9"/>
        <w:rPr>
          <w:sz w:val="20"/>
        </w:rPr>
      </w:pPr>
    </w:p>
    <w:tbl>
      <w:tblPr>
        <w:tblW w:w="0" w:type="auto"/>
        <w:jc w:val="center"/>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3"/>
        <w:gridCol w:w="5965"/>
        <w:gridCol w:w="1220"/>
      </w:tblGrid>
      <w:tr w:rsidR="006E7FCE" w:rsidRPr="00D13C67" w:rsidTr="006E7FCE">
        <w:trPr>
          <w:cantSplit/>
          <w:jc w:val="center"/>
        </w:trPr>
        <w:tc>
          <w:tcPr>
            <w:tcW w:w="1463" w:type="dxa"/>
            <w:vAlign w:val="center"/>
          </w:tcPr>
          <w:p w:rsidR="006E7FCE" w:rsidRPr="00D13C67" w:rsidRDefault="006E7FCE" w:rsidP="00BC4884">
            <w:pPr>
              <w:spacing w:before="40" w:after="40"/>
              <w:ind w:right="14"/>
              <w:jc w:val="center"/>
            </w:pPr>
            <w:r w:rsidRPr="00D13C67">
              <w:t>Code</w:t>
            </w:r>
          </w:p>
        </w:tc>
        <w:tc>
          <w:tcPr>
            <w:tcW w:w="5965" w:type="dxa"/>
            <w:vAlign w:val="center"/>
          </w:tcPr>
          <w:p w:rsidR="006E7FCE" w:rsidRPr="00D13C67" w:rsidRDefault="006E7FCE" w:rsidP="006E7FCE">
            <w:pPr>
              <w:spacing w:before="40" w:after="40"/>
              <w:ind w:right="14"/>
              <w:jc w:val="center"/>
            </w:pPr>
            <w:r w:rsidRPr="00D13C67">
              <w:t>History</w:t>
            </w:r>
          </w:p>
        </w:tc>
        <w:tc>
          <w:tcPr>
            <w:tcW w:w="1220" w:type="dxa"/>
            <w:vAlign w:val="center"/>
          </w:tcPr>
          <w:p w:rsidR="006E7FCE" w:rsidRPr="00D13C67" w:rsidRDefault="006E7FCE" w:rsidP="006E7FCE">
            <w:pPr>
              <w:spacing w:before="40" w:after="40"/>
              <w:ind w:right="14"/>
              <w:jc w:val="center"/>
            </w:pPr>
            <w:r w:rsidRPr="00D13C67">
              <w:t>Date</w:t>
            </w:r>
          </w:p>
        </w:tc>
      </w:tr>
    </w:tbl>
    <w:p w:rsidR="00311037" w:rsidRDefault="00311037" w:rsidP="006E7FCE">
      <w:pPr>
        <w:spacing w:before="180"/>
        <w:ind w:right="9"/>
        <w:jc w:val="center"/>
        <w:rPr>
          <w:b/>
          <w:szCs w:val="22"/>
        </w:rPr>
      </w:pPr>
    </w:p>
    <w:p w:rsidR="006E7FCE" w:rsidRPr="00732C08" w:rsidRDefault="006E7FCE" w:rsidP="006E7FCE">
      <w:pPr>
        <w:spacing w:before="180"/>
        <w:ind w:right="9"/>
        <w:jc w:val="center"/>
        <w:rPr>
          <w:b/>
          <w:szCs w:val="22"/>
        </w:rPr>
      </w:pPr>
      <w:r>
        <w:rPr>
          <w:b/>
          <w:szCs w:val="22"/>
        </w:rPr>
        <w:t>S2A</w:t>
      </w:r>
      <w:proofErr w:type="gramStart"/>
      <w:r w:rsidRPr="00732C08">
        <w:rPr>
          <w:b/>
          <w:szCs w:val="22"/>
        </w:rPr>
        <w:t>:</w:t>
      </w:r>
      <w:proofErr w:type="gramEnd"/>
      <w:r w:rsidRPr="00732C08">
        <w:rPr>
          <w:b/>
          <w:szCs w:val="22"/>
        </w:rPr>
        <w:br/>
        <w:t xml:space="preserve">Guidance on Specific Aspects of Regulatory </w:t>
      </w:r>
      <w:proofErr w:type="spellStart"/>
      <w:r w:rsidRPr="00732C08">
        <w:rPr>
          <w:b/>
          <w:szCs w:val="22"/>
        </w:rPr>
        <w:t>Genotoxicity</w:t>
      </w:r>
      <w:proofErr w:type="spellEnd"/>
      <w:r w:rsidRPr="00732C08">
        <w:rPr>
          <w:b/>
          <w:szCs w:val="22"/>
        </w:rPr>
        <w:t xml:space="preserve"> Tests </w:t>
      </w:r>
      <w:r w:rsidRPr="00732C08">
        <w:rPr>
          <w:b/>
          <w:szCs w:val="22"/>
        </w:rPr>
        <w:br/>
        <w:t>for Pharmaceuticals</w:t>
      </w:r>
    </w:p>
    <w:tbl>
      <w:tblPr>
        <w:tblW w:w="0" w:type="auto"/>
        <w:jc w:val="center"/>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3"/>
        <w:gridCol w:w="5965"/>
        <w:gridCol w:w="1220"/>
      </w:tblGrid>
      <w:tr w:rsidR="006E7FCE" w:rsidRPr="00D13C67" w:rsidTr="006E7FCE">
        <w:trPr>
          <w:cantSplit/>
          <w:jc w:val="center"/>
        </w:trPr>
        <w:tc>
          <w:tcPr>
            <w:tcW w:w="1463" w:type="dxa"/>
            <w:vAlign w:val="center"/>
          </w:tcPr>
          <w:p w:rsidR="006E7FCE" w:rsidRPr="00D13C67" w:rsidRDefault="006E7FCE" w:rsidP="006E7FCE">
            <w:pPr>
              <w:spacing w:before="40" w:after="40"/>
              <w:ind w:right="14"/>
              <w:jc w:val="center"/>
              <w:rPr>
                <w:sz w:val="20"/>
              </w:rPr>
            </w:pPr>
            <w:r w:rsidRPr="00D13C67">
              <w:rPr>
                <w:sz w:val="20"/>
              </w:rPr>
              <w:t>S2A</w:t>
            </w:r>
          </w:p>
        </w:tc>
        <w:tc>
          <w:tcPr>
            <w:tcW w:w="5965" w:type="dxa"/>
            <w:vAlign w:val="center"/>
          </w:tcPr>
          <w:p w:rsidR="006E7FCE" w:rsidRPr="00D13C67" w:rsidRDefault="006E7FCE" w:rsidP="006E7FCE">
            <w:pPr>
              <w:spacing w:before="40" w:after="40"/>
              <w:ind w:right="14"/>
              <w:jc w:val="left"/>
              <w:rPr>
                <w:sz w:val="20"/>
              </w:rPr>
            </w:pPr>
            <w:r w:rsidRPr="00D13C67">
              <w:rPr>
                <w:sz w:val="20"/>
              </w:rPr>
              <w:t>A</w:t>
            </w:r>
            <w:r>
              <w:rPr>
                <w:sz w:val="20"/>
              </w:rPr>
              <w:t xml:space="preserve">pproval by the Steering Committee under </w:t>
            </w:r>
            <w:r>
              <w:rPr>
                <w:i/>
                <w:sz w:val="20"/>
              </w:rPr>
              <w:t>Step 2</w:t>
            </w:r>
            <w:r>
              <w:rPr>
                <w:sz w:val="20"/>
              </w:rPr>
              <w:t xml:space="preserve"> and release for public consultation.</w:t>
            </w:r>
          </w:p>
        </w:tc>
        <w:tc>
          <w:tcPr>
            <w:tcW w:w="1220" w:type="dxa"/>
            <w:vAlign w:val="center"/>
          </w:tcPr>
          <w:p w:rsidR="006E7FCE" w:rsidRPr="00D13C67" w:rsidRDefault="006E7FCE" w:rsidP="006E7FCE">
            <w:pPr>
              <w:spacing w:before="40" w:after="40"/>
              <w:ind w:right="14"/>
              <w:jc w:val="center"/>
              <w:rPr>
                <w:sz w:val="20"/>
              </w:rPr>
            </w:pPr>
            <w:r>
              <w:rPr>
                <w:sz w:val="20"/>
              </w:rPr>
              <w:t>10 March 1994</w:t>
            </w:r>
          </w:p>
        </w:tc>
      </w:tr>
      <w:tr w:rsidR="006E7FCE" w:rsidRPr="00D13C67" w:rsidTr="006E7FCE">
        <w:trPr>
          <w:cantSplit/>
          <w:jc w:val="center"/>
        </w:trPr>
        <w:tc>
          <w:tcPr>
            <w:tcW w:w="1463" w:type="dxa"/>
            <w:vAlign w:val="center"/>
          </w:tcPr>
          <w:p w:rsidR="006E7FCE" w:rsidRPr="00D13C67" w:rsidRDefault="006E7FCE" w:rsidP="006E7FCE">
            <w:pPr>
              <w:spacing w:before="40" w:after="40"/>
              <w:ind w:right="14"/>
              <w:jc w:val="center"/>
              <w:rPr>
                <w:sz w:val="20"/>
              </w:rPr>
            </w:pPr>
            <w:r>
              <w:rPr>
                <w:sz w:val="20"/>
              </w:rPr>
              <w:t>S2A</w:t>
            </w:r>
          </w:p>
        </w:tc>
        <w:tc>
          <w:tcPr>
            <w:tcW w:w="5965" w:type="dxa"/>
            <w:vAlign w:val="center"/>
          </w:tcPr>
          <w:p w:rsidR="006E7FCE" w:rsidRPr="00D13C67" w:rsidRDefault="006E7FCE" w:rsidP="006E7FCE">
            <w:pPr>
              <w:spacing w:before="40" w:after="40"/>
              <w:ind w:right="14"/>
              <w:jc w:val="left"/>
              <w:rPr>
                <w:sz w:val="20"/>
              </w:rPr>
            </w:pPr>
            <w:r>
              <w:rPr>
                <w:sz w:val="20"/>
              </w:rPr>
              <w:t xml:space="preserve">Approval by the Steering Committee under </w:t>
            </w:r>
            <w:r>
              <w:rPr>
                <w:i/>
                <w:sz w:val="20"/>
              </w:rPr>
              <w:t>Step 4</w:t>
            </w:r>
            <w:r>
              <w:rPr>
                <w:sz w:val="20"/>
              </w:rPr>
              <w:t xml:space="preserve"> and recommendation for adoption to the three ICH regulatory bodies.</w:t>
            </w:r>
          </w:p>
        </w:tc>
        <w:tc>
          <w:tcPr>
            <w:tcW w:w="1220" w:type="dxa"/>
            <w:vAlign w:val="center"/>
          </w:tcPr>
          <w:p w:rsidR="006E7FCE" w:rsidRDefault="006E7FCE" w:rsidP="006E7FCE">
            <w:pPr>
              <w:spacing w:before="40" w:after="40"/>
              <w:ind w:right="14"/>
              <w:jc w:val="center"/>
              <w:rPr>
                <w:sz w:val="20"/>
              </w:rPr>
            </w:pPr>
            <w:r>
              <w:rPr>
                <w:sz w:val="20"/>
              </w:rPr>
              <w:t>19 July 1995</w:t>
            </w:r>
          </w:p>
        </w:tc>
      </w:tr>
    </w:tbl>
    <w:p w:rsidR="006E7FCE" w:rsidRPr="00732C08" w:rsidRDefault="006E7FCE" w:rsidP="006E7FCE">
      <w:pPr>
        <w:spacing w:before="180"/>
        <w:ind w:right="9"/>
        <w:jc w:val="center"/>
        <w:rPr>
          <w:b/>
          <w:szCs w:val="22"/>
        </w:rPr>
      </w:pPr>
      <w:r>
        <w:rPr>
          <w:b/>
          <w:szCs w:val="22"/>
        </w:rPr>
        <w:t>S2B</w:t>
      </w:r>
      <w:proofErr w:type="gramStart"/>
      <w:r>
        <w:rPr>
          <w:b/>
          <w:szCs w:val="22"/>
        </w:rPr>
        <w:t>:</w:t>
      </w:r>
      <w:proofErr w:type="gramEnd"/>
      <w:r>
        <w:rPr>
          <w:b/>
          <w:szCs w:val="22"/>
        </w:rPr>
        <w:br/>
      </w:r>
      <w:proofErr w:type="spellStart"/>
      <w:r w:rsidRPr="00732C08">
        <w:rPr>
          <w:b/>
          <w:szCs w:val="22"/>
        </w:rPr>
        <w:t>Genotoxicity</w:t>
      </w:r>
      <w:proofErr w:type="spellEnd"/>
      <w:r w:rsidRPr="00732C08">
        <w:rPr>
          <w:b/>
          <w:szCs w:val="22"/>
        </w:rPr>
        <w:t xml:space="preserve">: A Standard </w:t>
      </w:r>
      <w:smartTag w:uri="urn:schemas-microsoft-com:office:smarttags" w:element="place">
        <w:r w:rsidRPr="00732C08">
          <w:rPr>
            <w:b/>
            <w:szCs w:val="22"/>
          </w:rPr>
          <w:t>Battery</w:t>
        </w:r>
      </w:smartTag>
      <w:r w:rsidRPr="00732C08">
        <w:rPr>
          <w:b/>
          <w:szCs w:val="22"/>
        </w:rPr>
        <w:t xml:space="preserve"> for </w:t>
      </w:r>
      <w:proofErr w:type="spellStart"/>
      <w:r w:rsidRPr="00732C08">
        <w:rPr>
          <w:b/>
          <w:szCs w:val="22"/>
        </w:rPr>
        <w:t>Genotoxic</w:t>
      </w:r>
      <w:r>
        <w:rPr>
          <w:b/>
          <w:szCs w:val="22"/>
        </w:rPr>
        <w:t>ity</w:t>
      </w:r>
      <w:proofErr w:type="spellEnd"/>
      <w:r>
        <w:rPr>
          <w:b/>
          <w:szCs w:val="22"/>
        </w:rPr>
        <w:br/>
        <w:t>Testing of Pharmaceuticals</w:t>
      </w:r>
    </w:p>
    <w:tbl>
      <w:tblPr>
        <w:tblW w:w="0" w:type="auto"/>
        <w:jc w:val="center"/>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3"/>
        <w:gridCol w:w="5965"/>
        <w:gridCol w:w="1220"/>
      </w:tblGrid>
      <w:tr w:rsidR="006E7FCE" w:rsidRPr="00D13C67" w:rsidTr="006E7FCE">
        <w:trPr>
          <w:cantSplit/>
          <w:jc w:val="center"/>
        </w:trPr>
        <w:tc>
          <w:tcPr>
            <w:tcW w:w="1463" w:type="dxa"/>
            <w:vAlign w:val="center"/>
          </w:tcPr>
          <w:p w:rsidR="006E7FCE" w:rsidRDefault="006E7FCE" w:rsidP="006E7FCE">
            <w:pPr>
              <w:spacing w:before="40" w:after="40"/>
              <w:ind w:right="14"/>
              <w:jc w:val="center"/>
              <w:rPr>
                <w:sz w:val="20"/>
              </w:rPr>
            </w:pPr>
            <w:r>
              <w:rPr>
                <w:sz w:val="20"/>
              </w:rPr>
              <w:t>S2B</w:t>
            </w:r>
          </w:p>
        </w:tc>
        <w:tc>
          <w:tcPr>
            <w:tcW w:w="5965" w:type="dxa"/>
            <w:vAlign w:val="center"/>
          </w:tcPr>
          <w:p w:rsidR="006E7FCE" w:rsidRPr="00D13C67" w:rsidRDefault="006E7FCE" w:rsidP="006E7FCE">
            <w:pPr>
              <w:spacing w:before="40" w:after="40"/>
              <w:ind w:right="14"/>
              <w:jc w:val="left"/>
              <w:rPr>
                <w:sz w:val="20"/>
              </w:rPr>
            </w:pPr>
            <w:r>
              <w:rPr>
                <w:sz w:val="20"/>
              </w:rPr>
              <w:t xml:space="preserve">Approval by the Steering Committee under </w:t>
            </w:r>
            <w:r>
              <w:rPr>
                <w:i/>
                <w:sz w:val="20"/>
              </w:rPr>
              <w:t>Step 2</w:t>
            </w:r>
            <w:r>
              <w:rPr>
                <w:sz w:val="20"/>
              </w:rPr>
              <w:t xml:space="preserve"> and release for public consultation.</w:t>
            </w:r>
          </w:p>
        </w:tc>
        <w:tc>
          <w:tcPr>
            <w:tcW w:w="1220" w:type="dxa"/>
            <w:vAlign w:val="center"/>
          </w:tcPr>
          <w:p w:rsidR="006E7FCE" w:rsidRDefault="006E7FCE" w:rsidP="006E7FCE">
            <w:pPr>
              <w:spacing w:before="40" w:after="40"/>
              <w:ind w:right="14"/>
              <w:jc w:val="center"/>
              <w:rPr>
                <w:sz w:val="20"/>
              </w:rPr>
            </w:pPr>
            <w:r>
              <w:rPr>
                <w:sz w:val="20"/>
              </w:rPr>
              <w:t>2 October 1996</w:t>
            </w:r>
          </w:p>
        </w:tc>
      </w:tr>
      <w:tr w:rsidR="006E7FCE" w:rsidRPr="00D13C67" w:rsidTr="006E7FCE">
        <w:trPr>
          <w:cantSplit/>
          <w:jc w:val="center"/>
        </w:trPr>
        <w:tc>
          <w:tcPr>
            <w:tcW w:w="1463" w:type="dxa"/>
            <w:vAlign w:val="center"/>
          </w:tcPr>
          <w:p w:rsidR="006E7FCE" w:rsidRDefault="006E7FCE" w:rsidP="006E7FCE">
            <w:pPr>
              <w:spacing w:before="40" w:after="40"/>
              <w:ind w:right="14"/>
              <w:jc w:val="center"/>
              <w:rPr>
                <w:sz w:val="20"/>
              </w:rPr>
            </w:pPr>
            <w:r>
              <w:rPr>
                <w:sz w:val="20"/>
              </w:rPr>
              <w:t>S2B</w:t>
            </w:r>
          </w:p>
        </w:tc>
        <w:tc>
          <w:tcPr>
            <w:tcW w:w="5965" w:type="dxa"/>
            <w:vAlign w:val="center"/>
          </w:tcPr>
          <w:p w:rsidR="006E7FCE" w:rsidRPr="00D13C67" w:rsidRDefault="006E7FCE" w:rsidP="006E7FCE">
            <w:pPr>
              <w:spacing w:before="40" w:after="40"/>
              <w:ind w:right="14"/>
              <w:jc w:val="left"/>
              <w:rPr>
                <w:sz w:val="20"/>
              </w:rPr>
            </w:pPr>
            <w:r>
              <w:rPr>
                <w:sz w:val="20"/>
              </w:rPr>
              <w:t xml:space="preserve">Approval by the Steering Committee under </w:t>
            </w:r>
            <w:r>
              <w:rPr>
                <w:i/>
                <w:sz w:val="20"/>
              </w:rPr>
              <w:t>Step 4</w:t>
            </w:r>
            <w:r>
              <w:rPr>
                <w:sz w:val="20"/>
              </w:rPr>
              <w:t xml:space="preserve"> and recommendation for adoption to the three ICH regulatory bodies.</w:t>
            </w:r>
          </w:p>
        </w:tc>
        <w:tc>
          <w:tcPr>
            <w:tcW w:w="1220" w:type="dxa"/>
            <w:vAlign w:val="center"/>
          </w:tcPr>
          <w:p w:rsidR="006E7FCE" w:rsidRDefault="006E7FCE" w:rsidP="006E7FCE">
            <w:pPr>
              <w:spacing w:before="40" w:after="40"/>
              <w:ind w:right="14"/>
              <w:jc w:val="center"/>
              <w:rPr>
                <w:sz w:val="20"/>
              </w:rPr>
            </w:pPr>
            <w:r>
              <w:rPr>
                <w:sz w:val="20"/>
              </w:rPr>
              <w:t>16 July 1997</w:t>
            </w:r>
          </w:p>
        </w:tc>
      </w:tr>
    </w:tbl>
    <w:p w:rsidR="00687355" w:rsidRPr="00BC4884" w:rsidRDefault="00687355" w:rsidP="00687355">
      <w:pPr>
        <w:spacing w:before="180"/>
        <w:ind w:right="9"/>
        <w:jc w:val="center"/>
        <w:rPr>
          <w:b/>
        </w:rPr>
      </w:pPr>
      <w:proofErr w:type="gramStart"/>
      <w:r>
        <w:rPr>
          <w:b/>
        </w:rPr>
        <w:t>S2(</w:t>
      </w:r>
      <w:proofErr w:type="gramEnd"/>
      <w:r>
        <w:rPr>
          <w:b/>
        </w:rPr>
        <w:t>R1):</w:t>
      </w:r>
      <w:r>
        <w:rPr>
          <w:b/>
        </w:rPr>
        <w:br/>
        <w:t>R</w:t>
      </w:r>
      <w:r w:rsidRPr="00687355">
        <w:rPr>
          <w:b/>
        </w:rPr>
        <w:t xml:space="preserve">evision of the S2A and S2B Guidelines </w:t>
      </w:r>
      <w:r>
        <w:rPr>
          <w:b/>
        </w:rPr>
        <w:br/>
      </w:r>
      <w:r w:rsidRPr="00687355">
        <w:rPr>
          <w:b/>
        </w:rPr>
        <w:t>which have been</w:t>
      </w:r>
      <w:r>
        <w:rPr>
          <w:b/>
        </w:rPr>
        <w:t xml:space="preserve"> merged as part of the revision</w:t>
      </w:r>
    </w:p>
    <w:tbl>
      <w:tblPr>
        <w:tblW w:w="0" w:type="auto"/>
        <w:jc w:val="center"/>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3"/>
        <w:gridCol w:w="5965"/>
        <w:gridCol w:w="1220"/>
      </w:tblGrid>
      <w:tr w:rsidR="006E7FCE" w:rsidTr="006E7FCE">
        <w:trPr>
          <w:cantSplit/>
          <w:jc w:val="center"/>
        </w:trPr>
        <w:tc>
          <w:tcPr>
            <w:tcW w:w="1463" w:type="dxa"/>
          </w:tcPr>
          <w:p w:rsidR="006E7FCE" w:rsidRDefault="006E7FCE" w:rsidP="006E7FCE">
            <w:pPr>
              <w:pStyle w:val="wfxRecipient"/>
              <w:spacing w:before="100" w:after="100"/>
              <w:ind w:right="9"/>
              <w:jc w:val="center"/>
              <w:rPr>
                <w:rFonts w:ascii="Century Schoolbook" w:hAnsi="Century Schoolbook"/>
                <w:sz w:val="20"/>
              </w:rPr>
            </w:pPr>
            <w:r>
              <w:rPr>
                <w:rFonts w:ascii="Century Schoolbook" w:hAnsi="Century Schoolbook"/>
                <w:sz w:val="20"/>
              </w:rPr>
              <w:t>S2(R1)</w:t>
            </w:r>
          </w:p>
        </w:tc>
        <w:tc>
          <w:tcPr>
            <w:tcW w:w="5965" w:type="dxa"/>
          </w:tcPr>
          <w:p w:rsidR="00687355" w:rsidRDefault="00687355" w:rsidP="006E7FCE">
            <w:pPr>
              <w:spacing w:before="100" w:after="100"/>
              <w:ind w:right="9"/>
              <w:rPr>
                <w:sz w:val="20"/>
              </w:rPr>
            </w:pPr>
            <w:r>
              <w:rPr>
                <w:sz w:val="20"/>
              </w:rPr>
              <w:t xml:space="preserve">Approval by the Steering Committee of </w:t>
            </w:r>
            <w:proofErr w:type="gramStart"/>
            <w:r>
              <w:rPr>
                <w:sz w:val="20"/>
              </w:rPr>
              <w:t>S2(</w:t>
            </w:r>
            <w:proofErr w:type="gramEnd"/>
            <w:r>
              <w:rPr>
                <w:sz w:val="20"/>
              </w:rPr>
              <w:t xml:space="preserve">R1) under </w:t>
            </w:r>
            <w:r>
              <w:rPr>
                <w:i/>
                <w:iCs/>
                <w:sz w:val="20"/>
              </w:rPr>
              <w:t>Step 2</w:t>
            </w:r>
            <w:r>
              <w:rPr>
                <w:sz w:val="20"/>
              </w:rPr>
              <w:t xml:space="preserve"> and release for public consultation.</w:t>
            </w:r>
          </w:p>
        </w:tc>
        <w:tc>
          <w:tcPr>
            <w:tcW w:w="1220" w:type="dxa"/>
          </w:tcPr>
          <w:p w:rsidR="006E7FCE" w:rsidRDefault="006E7FCE" w:rsidP="006E7FCE">
            <w:pPr>
              <w:spacing w:before="100" w:after="100"/>
              <w:ind w:right="9"/>
              <w:jc w:val="center"/>
              <w:rPr>
                <w:sz w:val="20"/>
              </w:rPr>
            </w:pPr>
            <w:r>
              <w:rPr>
                <w:sz w:val="20"/>
              </w:rPr>
              <w:t>6 March 2008</w:t>
            </w:r>
          </w:p>
        </w:tc>
      </w:tr>
    </w:tbl>
    <w:p w:rsidR="006E7FCE" w:rsidRDefault="006E7FCE" w:rsidP="006E7FCE">
      <w:pPr>
        <w:ind w:right="9"/>
      </w:pPr>
    </w:p>
    <w:p w:rsidR="00687355" w:rsidRPr="00BC4884" w:rsidRDefault="00687355" w:rsidP="00687355">
      <w:pPr>
        <w:spacing w:before="180"/>
        <w:ind w:right="9"/>
        <w:jc w:val="center"/>
        <w:rPr>
          <w:b/>
        </w:rPr>
      </w:pPr>
      <w:r>
        <w:rPr>
          <w:b/>
        </w:rPr>
        <w:t xml:space="preserve">Current </w:t>
      </w:r>
      <w:r>
        <w:rPr>
          <w:b/>
          <w:i/>
        </w:rPr>
        <w:t>Step 4</w:t>
      </w:r>
      <w:r>
        <w:rPr>
          <w:b/>
        </w:rPr>
        <w:t xml:space="preserve"> version</w:t>
      </w:r>
    </w:p>
    <w:tbl>
      <w:tblPr>
        <w:tblW w:w="0" w:type="auto"/>
        <w:jc w:val="center"/>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3"/>
        <w:gridCol w:w="5965"/>
        <w:gridCol w:w="1220"/>
      </w:tblGrid>
      <w:tr w:rsidR="00687355" w:rsidTr="00687355">
        <w:trPr>
          <w:cantSplit/>
          <w:jc w:val="center"/>
        </w:trPr>
        <w:tc>
          <w:tcPr>
            <w:tcW w:w="1463" w:type="dxa"/>
          </w:tcPr>
          <w:p w:rsidR="00687355" w:rsidRDefault="00687355" w:rsidP="00687355">
            <w:pPr>
              <w:pStyle w:val="wfxRecipient"/>
              <w:spacing w:before="100" w:after="100"/>
              <w:ind w:right="9"/>
              <w:jc w:val="center"/>
              <w:rPr>
                <w:rFonts w:ascii="Century Schoolbook" w:hAnsi="Century Schoolbook"/>
                <w:sz w:val="20"/>
              </w:rPr>
            </w:pPr>
            <w:r>
              <w:rPr>
                <w:rFonts w:ascii="Century Schoolbook" w:hAnsi="Century Schoolbook"/>
                <w:sz w:val="20"/>
              </w:rPr>
              <w:t>S2(R1)</w:t>
            </w:r>
          </w:p>
        </w:tc>
        <w:tc>
          <w:tcPr>
            <w:tcW w:w="5965" w:type="dxa"/>
          </w:tcPr>
          <w:p w:rsidR="00687355" w:rsidRPr="0072336A" w:rsidRDefault="00687355" w:rsidP="0072336A">
            <w:pPr>
              <w:spacing w:before="100" w:after="100"/>
              <w:ind w:right="9"/>
              <w:rPr>
                <w:sz w:val="20"/>
                <w:szCs w:val="20"/>
              </w:rPr>
            </w:pPr>
            <w:r>
              <w:rPr>
                <w:sz w:val="20"/>
              </w:rPr>
              <w:t xml:space="preserve">Approval by the Steering Committee of </w:t>
            </w:r>
            <w:proofErr w:type="gramStart"/>
            <w:r>
              <w:rPr>
                <w:sz w:val="20"/>
              </w:rPr>
              <w:t>S2(</w:t>
            </w:r>
            <w:proofErr w:type="gramEnd"/>
            <w:r>
              <w:rPr>
                <w:sz w:val="20"/>
              </w:rPr>
              <w:t xml:space="preserve">R1) under </w:t>
            </w:r>
            <w:r>
              <w:rPr>
                <w:i/>
                <w:iCs/>
                <w:sz w:val="20"/>
              </w:rPr>
              <w:t>Step 4</w:t>
            </w:r>
            <w:r>
              <w:rPr>
                <w:sz w:val="20"/>
              </w:rPr>
              <w:t xml:space="preserve"> </w:t>
            </w:r>
            <w:r w:rsidR="0072336A">
              <w:rPr>
                <w:sz w:val="20"/>
                <w:szCs w:val="20"/>
              </w:rPr>
              <w:t xml:space="preserve">and recommendation for adoption to the three ICH regulatory bodies. </w:t>
            </w:r>
          </w:p>
        </w:tc>
        <w:tc>
          <w:tcPr>
            <w:tcW w:w="1220" w:type="dxa"/>
          </w:tcPr>
          <w:p w:rsidR="00687355" w:rsidRDefault="00687355" w:rsidP="00687355">
            <w:pPr>
              <w:spacing w:before="100" w:after="100"/>
              <w:ind w:right="9"/>
              <w:jc w:val="center"/>
              <w:rPr>
                <w:sz w:val="20"/>
              </w:rPr>
            </w:pPr>
            <w:r>
              <w:rPr>
                <w:sz w:val="20"/>
              </w:rPr>
              <w:t>9 November 2011</w:t>
            </w:r>
          </w:p>
        </w:tc>
      </w:tr>
    </w:tbl>
    <w:p w:rsidR="00BC4884" w:rsidRPr="00687355" w:rsidRDefault="00BC4884" w:rsidP="006E7FCE">
      <w:pPr>
        <w:ind w:right="9"/>
        <w:rPr>
          <w:b/>
        </w:rPr>
      </w:pPr>
    </w:p>
    <w:p w:rsidR="006E7FCE" w:rsidRDefault="006E7FCE" w:rsidP="006E7FCE">
      <w:pPr>
        <w:ind w:left="426" w:right="9" w:hanging="426"/>
        <w:jc w:val="left"/>
        <w:rPr>
          <w:i/>
        </w:rPr>
      </w:pPr>
    </w:p>
    <w:p w:rsidR="00BC4884" w:rsidRDefault="00BC4884" w:rsidP="006E7FCE">
      <w:pPr>
        <w:ind w:left="426" w:right="9" w:hanging="426"/>
        <w:jc w:val="left"/>
        <w:rPr>
          <w:i/>
        </w:rPr>
        <w:sectPr w:rsidR="00BC4884" w:rsidSect="00056B19">
          <w:footerReference w:type="even" r:id="rId9"/>
          <w:pgSz w:w="11906" w:h="16838" w:code="9"/>
          <w:pgMar w:top="1411" w:right="1411" w:bottom="1411" w:left="1411" w:header="850" w:footer="994" w:gutter="0"/>
          <w:cols w:space="425"/>
          <w:docGrid w:linePitch="360"/>
        </w:sectPr>
      </w:pPr>
    </w:p>
    <w:p w:rsidR="00087AA6" w:rsidRPr="00087AA6" w:rsidRDefault="00087AA6" w:rsidP="00087AA6">
      <w:pPr>
        <w:autoSpaceDE w:val="0"/>
        <w:autoSpaceDN w:val="0"/>
        <w:adjustRightInd w:val="0"/>
        <w:spacing w:after="240"/>
        <w:ind w:left="-187" w:right="-274"/>
        <w:jc w:val="center"/>
        <w:textAlignment w:val="bottom"/>
        <w:rPr>
          <w:rFonts w:ascii="Century Schoolbook" w:hAnsi="Century Schoolbook"/>
          <w:b/>
          <w:bCs/>
          <w:smallCaps/>
          <w:kern w:val="0"/>
          <w:sz w:val="28"/>
          <w:szCs w:val="28"/>
        </w:rPr>
      </w:pPr>
      <w:r w:rsidRPr="00087AA6">
        <w:rPr>
          <w:rFonts w:ascii="Century Schoolbook" w:hAnsi="Century Schoolbook"/>
          <w:b/>
          <w:bCs/>
          <w:smallCaps/>
          <w:kern w:val="0"/>
          <w:sz w:val="28"/>
          <w:szCs w:val="28"/>
        </w:rPr>
        <w:lastRenderedPageBreak/>
        <w:t xml:space="preserve">Guidance on </w:t>
      </w:r>
      <w:proofErr w:type="spellStart"/>
      <w:r w:rsidRPr="00087AA6">
        <w:rPr>
          <w:rFonts w:ascii="Century Schoolbook" w:hAnsi="Century Schoolbook"/>
          <w:b/>
          <w:bCs/>
          <w:smallCaps/>
          <w:kern w:val="0"/>
          <w:sz w:val="28"/>
          <w:szCs w:val="28"/>
        </w:rPr>
        <w:t>Genotoxicity</w:t>
      </w:r>
      <w:proofErr w:type="spellEnd"/>
      <w:r w:rsidRPr="00087AA6">
        <w:rPr>
          <w:rFonts w:ascii="Century Schoolbook" w:hAnsi="Century Schoolbook"/>
          <w:b/>
          <w:bCs/>
          <w:smallCaps/>
          <w:kern w:val="0"/>
          <w:sz w:val="28"/>
          <w:szCs w:val="28"/>
        </w:rPr>
        <w:t xml:space="preserve"> Testing and</w:t>
      </w:r>
      <w:r w:rsidR="00C40757">
        <w:rPr>
          <w:rFonts w:ascii="Century Schoolbook" w:hAnsi="Century Schoolbook"/>
          <w:b/>
          <w:bCs/>
          <w:smallCaps/>
          <w:kern w:val="0"/>
          <w:sz w:val="28"/>
          <w:szCs w:val="28"/>
        </w:rPr>
        <w:br/>
      </w:r>
      <w:r w:rsidRPr="00087AA6">
        <w:rPr>
          <w:rFonts w:ascii="Century Schoolbook" w:hAnsi="Century Schoolbook"/>
          <w:b/>
          <w:bCs/>
          <w:smallCaps/>
          <w:kern w:val="0"/>
          <w:sz w:val="28"/>
          <w:szCs w:val="28"/>
        </w:rPr>
        <w:t>Data Interpretation for</w:t>
      </w:r>
      <w:r>
        <w:rPr>
          <w:rFonts w:ascii="Century Schoolbook" w:hAnsi="Century Schoolbook"/>
          <w:b/>
          <w:bCs/>
          <w:smallCaps/>
          <w:kern w:val="0"/>
          <w:sz w:val="28"/>
          <w:szCs w:val="28"/>
        </w:rPr>
        <w:t xml:space="preserve"> </w:t>
      </w:r>
      <w:r w:rsidRPr="00087AA6">
        <w:rPr>
          <w:rFonts w:ascii="Century Schoolbook" w:hAnsi="Century Schoolbook"/>
          <w:b/>
          <w:bCs/>
          <w:smallCaps/>
          <w:kern w:val="0"/>
          <w:sz w:val="28"/>
          <w:szCs w:val="28"/>
        </w:rPr>
        <w:t xml:space="preserve">Pharmaceuticals Intended for </w:t>
      </w:r>
      <w:r w:rsidR="00C40757">
        <w:rPr>
          <w:rFonts w:ascii="Century Schoolbook" w:hAnsi="Century Schoolbook"/>
          <w:b/>
          <w:bCs/>
          <w:smallCaps/>
          <w:kern w:val="0"/>
          <w:sz w:val="28"/>
          <w:szCs w:val="28"/>
        </w:rPr>
        <w:br/>
      </w:r>
      <w:r w:rsidRPr="00087AA6">
        <w:rPr>
          <w:rFonts w:ascii="Century Schoolbook" w:hAnsi="Century Schoolbook"/>
          <w:b/>
          <w:bCs/>
          <w:smallCaps/>
          <w:kern w:val="0"/>
          <w:sz w:val="28"/>
          <w:szCs w:val="28"/>
        </w:rPr>
        <w:t>Human Use</w:t>
      </w:r>
    </w:p>
    <w:p w:rsidR="00087AA6" w:rsidRPr="00E14A55" w:rsidRDefault="00087AA6" w:rsidP="00087AA6">
      <w:pPr>
        <w:pStyle w:val="hd"/>
        <w:tabs>
          <w:tab w:val="left" w:pos="567"/>
          <w:tab w:val="left" w:pos="1134"/>
        </w:tabs>
        <w:overflowPunct w:val="0"/>
        <w:autoSpaceDE w:val="0"/>
        <w:autoSpaceDN w:val="0"/>
        <w:adjustRightInd w:val="0"/>
        <w:spacing w:before="120"/>
        <w:textAlignment w:val="baseline"/>
        <w:rPr>
          <w:smallCaps w:val="0"/>
          <w:sz w:val="22"/>
          <w:szCs w:val="22"/>
        </w:rPr>
      </w:pPr>
      <w:r w:rsidRPr="00E14A55">
        <w:rPr>
          <w:smallCaps w:val="0"/>
          <w:sz w:val="22"/>
          <w:szCs w:val="22"/>
        </w:rPr>
        <w:t>ICH Harmonised Tripartite Guideline</w:t>
      </w:r>
    </w:p>
    <w:p w:rsidR="00087AA6" w:rsidRDefault="00087AA6" w:rsidP="00087AA6">
      <w:pPr>
        <w:pStyle w:val="hd"/>
        <w:tabs>
          <w:tab w:val="left" w:pos="567"/>
          <w:tab w:val="left" w:pos="1134"/>
        </w:tabs>
        <w:overflowPunct w:val="0"/>
        <w:autoSpaceDE w:val="0"/>
        <w:autoSpaceDN w:val="0"/>
        <w:adjustRightInd w:val="0"/>
        <w:spacing w:after="120"/>
        <w:textAlignment w:val="baseline"/>
        <w:rPr>
          <w:b w:val="0"/>
          <w:smallCaps w:val="0"/>
          <w:sz w:val="22"/>
          <w:szCs w:val="22"/>
        </w:rPr>
      </w:pPr>
      <w:r w:rsidRPr="00E14A55">
        <w:rPr>
          <w:b w:val="0"/>
          <w:smallCaps w:val="0"/>
          <w:sz w:val="22"/>
          <w:szCs w:val="22"/>
        </w:rPr>
        <w:t xml:space="preserve">Having reached </w:t>
      </w:r>
      <w:r w:rsidRPr="008F069D">
        <w:rPr>
          <w:b w:val="0"/>
          <w:i/>
          <w:smallCaps w:val="0"/>
          <w:sz w:val="22"/>
          <w:szCs w:val="22"/>
        </w:rPr>
        <w:t>Step 4</w:t>
      </w:r>
      <w:r w:rsidRPr="00E14A55">
        <w:rPr>
          <w:b w:val="0"/>
          <w:smallCaps w:val="0"/>
          <w:sz w:val="22"/>
          <w:szCs w:val="22"/>
        </w:rPr>
        <w:t xml:space="preserve"> of the ICH Process at the IC</w:t>
      </w:r>
      <w:r>
        <w:rPr>
          <w:b w:val="0"/>
          <w:smallCaps w:val="0"/>
          <w:sz w:val="22"/>
          <w:szCs w:val="22"/>
        </w:rPr>
        <w:t>H Steering Committee meeting on 9 November 2011</w:t>
      </w:r>
      <w:r w:rsidRPr="00E14A55">
        <w:rPr>
          <w:b w:val="0"/>
          <w:smallCaps w:val="0"/>
          <w:sz w:val="22"/>
          <w:szCs w:val="22"/>
        </w:rPr>
        <w:t xml:space="preserve">, this </w:t>
      </w:r>
      <w:r>
        <w:rPr>
          <w:b w:val="0"/>
          <w:smallCaps w:val="0"/>
          <w:sz w:val="22"/>
          <w:szCs w:val="22"/>
        </w:rPr>
        <w:t>G</w:t>
      </w:r>
      <w:r w:rsidRPr="00E14A55">
        <w:rPr>
          <w:b w:val="0"/>
          <w:smallCaps w:val="0"/>
          <w:sz w:val="22"/>
          <w:szCs w:val="22"/>
        </w:rPr>
        <w:t xml:space="preserve">uideline is recommended for adoption to the </w:t>
      </w:r>
      <w:r w:rsidR="00C40757">
        <w:rPr>
          <w:b w:val="0"/>
          <w:smallCaps w:val="0"/>
          <w:sz w:val="22"/>
          <w:szCs w:val="22"/>
        </w:rPr>
        <w:t>three regulatory parties to ICH</w:t>
      </w:r>
    </w:p>
    <w:p w:rsidR="00087AA6" w:rsidRPr="00C40757" w:rsidRDefault="00087AA6">
      <w:pPr>
        <w:autoSpaceDE w:val="0"/>
        <w:autoSpaceDN w:val="0"/>
        <w:adjustRightInd w:val="0"/>
        <w:spacing w:line="360" w:lineRule="auto"/>
        <w:jc w:val="center"/>
        <w:textAlignment w:val="bottom"/>
        <w:rPr>
          <w:rFonts w:ascii="Century Schoolbook" w:hAnsi="Century Schoolbook"/>
          <w:b/>
          <w:kern w:val="0"/>
          <w:sz w:val="22"/>
          <w:szCs w:val="22"/>
        </w:rPr>
      </w:pPr>
    </w:p>
    <w:p w:rsidR="001D26BE" w:rsidRPr="00C40757" w:rsidRDefault="001D26BE">
      <w:pPr>
        <w:autoSpaceDE w:val="0"/>
        <w:autoSpaceDN w:val="0"/>
        <w:adjustRightInd w:val="0"/>
        <w:spacing w:line="360" w:lineRule="auto"/>
        <w:jc w:val="center"/>
        <w:textAlignment w:val="bottom"/>
        <w:rPr>
          <w:rFonts w:ascii="Century Schoolbook" w:hAnsi="Century Schoolbook"/>
          <w:b/>
          <w:caps/>
          <w:kern w:val="0"/>
          <w:sz w:val="22"/>
          <w:szCs w:val="22"/>
        </w:rPr>
      </w:pPr>
      <w:r w:rsidRPr="00C40757">
        <w:rPr>
          <w:rFonts w:ascii="Century Schoolbook" w:hAnsi="Century Schoolbook"/>
          <w:b/>
          <w:caps/>
          <w:kern w:val="0"/>
          <w:sz w:val="22"/>
          <w:szCs w:val="22"/>
        </w:rPr>
        <w:t>Table of Contents</w:t>
      </w:r>
    </w:p>
    <w:p w:rsidR="00A233D0" w:rsidRDefault="00A233D0" w:rsidP="00A233D0">
      <w:pPr>
        <w:rPr>
          <w:rFonts w:ascii="Century Schoolbook" w:hAnsi="Century Schoolbook"/>
          <w:b/>
          <w:kern w:val="0"/>
          <w:sz w:val="22"/>
          <w:szCs w:val="22"/>
        </w:rPr>
      </w:pPr>
    </w:p>
    <w:p w:rsidR="00AD4B80" w:rsidRPr="00AD4B80" w:rsidRDefault="00800FBA" w:rsidP="00AD4B80">
      <w:pPr>
        <w:pStyle w:val="TOC1"/>
        <w:rPr>
          <w:rFonts w:eastAsiaTheme="minorEastAsia" w:cstheme="minorBidi"/>
          <w:color w:val="auto"/>
          <w:kern w:val="0"/>
          <w:lang w:eastAsia="en-US"/>
        </w:rPr>
      </w:pPr>
      <w:r w:rsidRPr="00800FBA">
        <w:rPr>
          <w:kern w:val="0"/>
        </w:rPr>
        <w:fldChar w:fldCharType="begin"/>
      </w:r>
      <w:r w:rsidR="00A233D0" w:rsidRPr="00AD4B80">
        <w:rPr>
          <w:kern w:val="0"/>
        </w:rPr>
        <w:instrText xml:space="preserve"> TOC \o "1-3" \h \z \u </w:instrText>
      </w:r>
      <w:r w:rsidRPr="00800FBA">
        <w:rPr>
          <w:kern w:val="0"/>
        </w:rPr>
        <w:fldChar w:fldCharType="separate"/>
      </w:r>
      <w:hyperlink w:anchor="_Toc309835264" w:history="1">
        <w:r w:rsidR="00AD4B80" w:rsidRPr="00AD4B80">
          <w:rPr>
            <w:rStyle w:val="Hyperlink"/>
            <w:smallCaps/>
          </w:rPr>
          <w:t>1.</w:t>
        </w:r>
        <w:r w:rsidR="00AD4B80" w:rsidRPr="00AD4B80">
          <w:rPr>
            <w:rFonts w:eastAsiaTheme="minorEastAsia" w:cstheme="minorBidi"/>
            <w:color w:val="auto"/>
            <w:kern w:val="0"/>
            <w:lang w:eastAsia="en-US"/>
          </w:rPr>
          <w:tab/>
        </w:r>
        <w:r w:rsidR="00AD4B80" w:rsidRPr="00AD4B80">
          <w:rPr>
            <w:rStyle w:val="Hyperlink"/>
            <w:smallCaps/>
          </w:rPr>
          <w:t>Introduction</w:t>
        </w:r>
        <w:r w:rsidR="00AD4B80" w:rsidRPr="00AD4B80">
          <w:rPr>
            <w:webHidden/>
          </w:rPr>
          <w:tab/>
        </w:r>
        <w:r w:rsidRPr="00AD4B80">
          <w:rPr>
            <w:webHidden/>
          </w:rPr>
          <w:fldChar w:fldCharType="begin"/>
        </w:r>
        <w:r w:rsidR="00AD4B80" w:rsidRPr="00AD4B80">
          <w:rPr>
            <w:webHidden/>
          </w:rPr>
          <w:instrText xml:space="preserve"> PAGEREF _Toc309835264 \h </w:instrText>
        </w:r>
        <w:r w:rsidRPr="00AD4B80">
          <w:rPr>
            <w:webHidden/>
          </w:rPr>
        </w:r>
        <w:r w:rsidRPr="00AD4B80">
          <w:rPr>
            <w:webHidden/>
          </w:rPr>
          <w:fldChar w:fldCharType="separate"/>
        </w:r>
        <w:r w:rsidR="002F432B">
          <w:rPr>
            <w:webHidden/>
          </w:rPr>
          <w:t>1</w:t>
        </w:r>
        <w:r w:rsidRPr="00AD4B80">
          <w:rPr>
            <w:webHidden/>
          </w:rPr>
          <w:fldChar w:fldCharType="end"/>
        </w:r>
      </w:hyperlink>
    </w:p>
    <w:p w:rsidR="00AD4B80" w:rsidRPr="00AD4B80" w:rsidRDefault="00800FBA" w:rsidP="00AD4B80">
      <w:pPr>
        <w:pStyle w:val="TOC1"/>
        <w:rPr>
          <w:rFonts w:eastAsiaTheme="minorEastAsia" w:cstheme="minorBidi"/>
          <w:color w:val="auto"/>
          <w:kern w:val="0"/>
          <w:lang w:eastAsia="en-US"/>
        </w:rPr>
      </w:pPr>
      <w:hyperlink w:anchor="_Toc309835265" w:history="1">
        <w:r w:rsidR="00AD4B80" w:rsidRPr="00AD4B80">
          <w:rPr>
            <w:rStyle w:val="Hyperlink"/>
            <w:smallCaps/>
          </w:rPr>
          <w:t>1.1</w:t>
        </w:r>
        <w:r w:rsidR="00AD4B80" w:rsidRPr="00AD4B80">
          <w:rPr>
            <w:rFonts w:eastAsiaTheme="minorEastAsia" w:cstheme="minorBidi"/>
            <w:color w:val="auto"/>
            <w:kern w:val="0"/>
            <w:lang w:eastAsia="en-US"/>
          </w:rPr>
          <w:tab/>
        </w:r>
        <w:r w:rsidR="00AD4B80" w:rsidRPr="00AD4B80">
          <w:rPr>
            <w:rStyle w:val="Hyperlink"/>
          </w:rPr>
          <w:t>Objectives of the Guideline</w:t>
        </w:r>
        <w:r w:rsidR="00AD4B80" w:rsidRPr="00AD4B80">
          <w:rPr>
            <w:webHidden/>
          </w:rPr>
          <w:tab/>
        </w:r>
        <w:r w:rsidRPr="00AD4B80">
          <w:rPr>
            <w:webHidden/>
          </w:rPr>
          <w:fldChar w:fldCharType="begin"/>
        </w:r>
        <w:r w:rsidR="00AD4B80" w:rsidRPr="00AD4B80">
          <w:rPr>
            <w:webHidden/>
          </w:rPr>
          <w:instrText xml:space="preserve"> PAGEREF _Toc309835265 \h </w:instrText>
        </w:r>
        <w:r w:rsidRPr="00AD4B80">
          <w:rPr>
            <w:webHidden/>
          </w:rPr>
        </w:r>
        <w:r w:rsidRPr="00AD4B80">
          <w:rPr>
            <w:webHidden/>
          </w:rPr>
          <w:fldChar w:fldCharType="separate"/>
        </w:r>
        <w:r w:rsidR="002F432B">
          <w:rPr>
            <w:webHidden/>
          </w:rPr>
          <w:t>1</w:t>
        </w:r>
        <w:r w:rsidRPr="00AD4B80">
          <w:rPr>
            <w:webHidden/>
          </w:rPr>
          <w:fldChar w:fldCharType="end"/>
        </w:r>
      </w:hyperlink>
    </w:p>
    <w:p w:rsidR="00AD4B80" w:rsidRPr="00AD4B80" w:rsidRDefault="00800FBA" w:rsidP="00AD4B80">
      <w:pPr>
        <w:pStyle w:val="TOC2"/>
        <w:rPr>
          <w:rFonts w:eastAsiaTheme="minorEastAsia" w:cstheme="minorBidi"/>
          <w:color w:val="auto"/>
          <w:kern w:val="0"/>
          <w:lang w:eastAsia="en-US"/>
        </w:rPr>
      </w:pPr>
      <w:hyperlink w:anchor="_Toc309835266" w:history="1">
        <w:r w:rsidR="00AD4B80" w:rsidRPr="00AD4B80">
          <w:rPr>
            <w:rStyle w:val="Hyperlink"/>
          </w:rPr>
          <w:t>1.2.</w:t>
        </w:r>
        <w:r w:rsidR="00AD4B80" w:rsidRPr="00AD4B80">
          <w:rPr>
            <w:rFonts w:eastAsiaTheme="minorEastAsia" w:cstheme="minorBidi"/>
            <w:color w:val="auto"/>
            <w:kern w:val="0"/>
            <w:lang w:eastAsia="en-US"/>
          </w:rPr>
          <w:tab/>
        </w:r>
        <w:r w:rsidR="00AD4B80" w:rsidRPr="00AD4B80">
          <w:rPr>
            <w:rStyle w:val="Hyperlink"/>
          </w:rPr>
          <w:t>Background</w:t>
        </w:r>
        <w:r w:rsidR="00AD4B80" w:rsidRPr="00AD4B80">
          <w:rPr>
            <w:webHidden/>
          </w:rPr>
          <w:tab/>
        </w:r>
        <w:r w:rsidRPr="00AD4B80">
          <w:rPr>
            <w:webHidden/>
          </w:rPr>
          <w:fldChar w:fldCharType="begin"/>
        </w:r>
        <w:r w:rsidR="00AD4B80" w:rsidRPr="00AD4B80">
          <w:rPr>
            <w:webHidden/>
          </w:rPr>
          <w:instrText xml:space="preserve"> PAGEREF _Toc309835266 \h </w:instrText>
        </w:r>
        <w:r w:rsidRPr="00AD4B80">
          <w:rPr>
            <w:webHidden/>
          </w:rPr>
        </w:r>
        <w:r w:rsidRPr="00AD4B80">
          <w:rPr>
            <w:webHidden/>
          </w:rPr>
          <w:fldChar w:fldCharType="separate"/>
        </w:r>
        <w:r w:rsidR="002F432B">
          <w:rPr>
            <w:webHidden/>
          </w:rPr>
          <w:t>1</w:t>
        </w:r>
        <w:r w:rsidRPr="00AD4B80">
          <w:rPr>
            <w:webHidden/>
          </w:rPr>
          <w:fldChar w:fldCharType="end"/>
        </w:r>
      </w:hyperlink>
    </w:p>
    <w:p w:rsidR="00AD4B80" w:rsidRPr="00AD4B80" w:rsidRDefault="00800FBA" w:rsidP="00AD4B80">
      <w:pPr>
        <w:pStyle w:val="TOC2"/>
        <w:rPr>
          <w:rFonts w:eastAsiaTheme="minorEastAsia" w:cstheme="minorBidi"/>
          <w:color w:val="auto"/>
          <w:kern w:val="0"/>
          <w:lang w:eastAsia="en-US"/>
        </w:rPr>
      </w:pPr>
      <w:hyperlink w:anchor="_Toc309835267" w:history="1">
        <w:r w:rsidR="00AD4B80" w:rsidRPr="00AD4B80">
          <w:rPr>
            <w:rStyle w:val="Hyperlink"/>
          </w:rPr>
          <w:t>1.3.</w:t>
        </w:r>
        <w:r w:rsidR="00AD4B80" w:rsidRPr="00AD4B80">
          <w:rPr>
            <w:rFonts w:eastAsiaTheme="minorEastAsia" w:cstheme="minorBidi"/>
            <w:color w:val="auto"/>
            <w:kern w:val="0"/>
            <w:lang w:eastAsia="en-US"/>
          </w:rPr>
          <w:tab/>
        </w:r>
        <w:r w:rsidR="00AD4B80" w:rsidRPr="00AD4B80">
          <w:rPr>
            <w:rStyle w:val="Hyperlink"/>
          </w:rPr>
          <w:t>Scope of the Guideline</w:t>
        </w:r>
        <w:r w:rsidR="00AD4B80" w:rsidRPr="00AD4B80">
          <w:rPr>
            <w:webHidden/>
          </w:rPr>
          <w:tab/>
        </w:r>
        <w:r w:rsidRPr="00AD4B80">
          <w:rPr>
            <w:webHidden/>
          </w:rPr>
          <w:fldChar w:fldCharType="begin"/>
        </w:r>
        <w:r w:rsidR="00AD4B80" w:rsidRPr="00AD4B80">
          <w:rPr>
            <w:webHidden/>
          </w:rPr>
          <w:instrText xml:space="preserve"> PAGEREF _Toc309835267 \h </w:instrText>
        </w:r>
        <w:r w:rsidRPr="00AD4B80">
          <w:rPr>
            <w:webHidden/>
          </w:rPr>
        </w:r>
        <w:r w:rsidRPr="00AD4B80">
          <w:rPr>
            <w:webHidden/>
          </w:rPr>
          <w:fldChar w:fldCharType="separate"/>
        </w:r>
        <w:r w:rsidR="002F432B">
          <w:rPr>
            <w:webHidden/>
          </w:rPr>
          <w:t>1</w:t>
        </w:r>
        <w:r w:rsidRPr="00AD4B80">
          <w:rPr>
            <w:webHidden/>
          </w:rPr>
          <w:fldChar w:fldCharType="end"/>
        </w:r>
      </w:hyperlink>
    </w:p>
    <w:p w:rsidR="00AD4B80" w:rsidRPr="00AD4B80" w:rsidRDefault="00800FBA" w:rsidP="00AD4B80">
      <w:pPr>
        <w:pStyle w:val="TOC2"/>
        <w:rPr>
          <w:rFonts w:eastAsiaTheme="minorEastAsia" w:cstheme="minorBidi"/>
          <w:color w:val="auto"/>
          <w:kern w:val="0"/>
          <w:lang w:eastAsia="en-US"/>
        </w:rPr>
      </w:pPr>
      <w:hyperlink w:anchor="_Toc309835268" w:history="1">
        <w:r w:rsidR="00AD4B80" w:rsidRPr="00AD4B80">
          <w:rPr>
            <w:rStyle w:val="Hyperlink"/>
          </w:rPr>
          <w:t>1.4</w:t>
        </w:r>
        <w:r w:rsidR="00AD4B80" w:rsidRPr="00AD4B80">
          <w:rPr>
            <w:rFonts w:eastAsiaTheme="minorEastAsia" w:cstheme="minorBidi"/>
            <w:color w:val="auto"/>
            <w:kern w:val="0"/>
            <w:lang w:eastAsia="en-US"/>
          </w:rPr>
          <w:tab/>
        </w:r>
        <w:r w:rsidR="00AD4B80" w:rsidRPr="00AD4B80">
          <w:rPr>
            <w:rStyle w:val="Hyperlink"/>
          </w:rPr>
          <w:t>General Principles</w:t>
        </w:r>
        <w:r w:rsidR="00AD4B80" w:rsidRPr="00AD4B80">
          <w:rPr>
            <w:webHidden/>
          </w:rPr>
          <w:tab/>
        </w:r>
        <w:r w:rsidRPr="00AD4B80">
          <w:rPr>
            <w:webHidden/>
          </w:rPr>
          <w:fldChar w:fldCharType="begin"/>
        </w:r>
        <w:r w:rsidR="00AD4B80" w:rsidRPr="00AD4B80">
          <w:rPr>
            <w:webHidden/>
          </w:rPr>
          <w:instrText xml:space="preserve"> PAGEREF _Toc309835268 \h </w:instrText>
        </w:r>
        <w:r w:rsidRPr="00AD4B80">
          <w:rPr>
            <w:webHidden/>
          </w:rPr>
        </w:r>
        <w:r w:rsidRPr="00AD4B80">
          <w:rPr>
            <w:webHidden/>
          </w:rPr>
          <w:fldChar w:fldCharType="separate"/>
        </w:r>
        <w:r w:rsidR="002F432B">
          <w:rPr>
            <w:webHidden/>
          </w:rPr>
          <w:t>1</w:t>
        </w:r>
        <w:r w:rsidRPr="00AD4B80">
          <w:rPr>
            <w:webHidden/>
          </w:rPr>
          <w:fldChar w:fldCharType="end"/>
        </w:r>
      </w:hyperlink>
    </w:p>
    <w:p w:rsidR="00AD4B80" w:rsidRPr="00AD4B80" w:rsidRDefault="00800FBA" w:rsidP="00AD4B80">
      <w:pPr>
        <w:pStyle w:val="TOC1"/>
        <w:rPr>
          <w:rFonts w:eastAsiaTheme="minorEastAsia" w:cstheme="minorBidi"/>
          <w:color w:val="auto"/>
          <w:kern w:val="0"/>
          <w:lang w:eastAsia="en-US"/>
        </w:rPr>
      </w:pPr>
      <w:hyperlink w:anchor="_Toc309835269" w:history="1">
        <w:r w:rsidR="00AD4B80" w:rsidRPr="00AD4B80">
          <w:rPr>
            <w:rStyle w:val="Hyperlink"/>
            <w:smallCaps/>
          </w:rPr>
          <w:t>2</w:t>
        </w:r>
        <w:r w:rsidR="00AD4B80" w:rsidRPr="00AD4B80">
          <w:rPr>
            <w:rFonts w:eastAsiaTheme="minorEastAsia" w:cstheme="minorBidi"/>
            <w:color w:val="auto"/>
            <w:kern w:val="0"/>
            <w:lang w:eastAsia="en-US"/>
          </w:rPr>
          <w:tab/>
        </w:r>
        <w:r w:rsidR="00AD4B80" w:rsidRPr="00AD4B80">
          <w:rPr>
            <w:rStyle w:val="Hyperlink"/>
            <w:smallCaps/>
          </w:rPr>
          <w:t>The Standard Test Battery for Genotoxicity</w:t>
        </w:r>
        <w:r w:rsidR="00AD4B80" w:rsidRPr="00AD4B80">
          <w:rPr>
            <w:webHidden/>
          </w:rPr>
          <w:tab/>
        </w:r>
        <w:r w:rsidRPr="00AD4B80">
          <w:rPr>
            <w:webHidden/>
          </w:rPr>
          <w:fldChar w:fldCharType="begin"/>
        </w:r>
        <w:r w:rsidR="00AD4B80" w:rsidRPr="00AD4B80">
          <w:rPr>
            <w:webHidden/>
          </w:rPr>
          <w:instrText xml:space="preserve"> PAGEREF _Toc309835269 \h </w:instrText>
        </w:r>
        <w:r w:rsidRPr="00AD4B80">
          <w:rPr>
            <w:webHidden/>
          </w:rPr>
        </w:r>
        <w:r w:rsidRPr="00AD4B80">
          <w:rPr>
            <w:webHidden/>
          </w:rPr>
          <w:fldChar w:fldCharType="separate"/>
        </w:r>
        <w:r w:rsidR="002F432B">
          <w:rPr>
            <w:webHidden/>
          </w:rPr>
          <w:t>2</w:t>
        </w:r>
        <w:r w:rsidRPr="00AD4B80">
          <w:rPr>
            <w:webHidden/>
          </w:rPr>
          <w:fldChar w:fldCharType="end"/>
        </w:r>
      </w:hyperlink>
    </w:p>
    <w:p w:rsidR="00AD4B80" w:rsidRPr="00AD4B80" w:rsidRDefault="00800FBA" w:rsidP="00AD4B80">
      <w:pPr>
        <w:pStyle w:val="TOC2"/>
        <w:rPr>
          <w:rFonts w:eastAsiaTheme="minorEastAsia" w:cstheme="minorBidi"/>
          <w:color w:val="auto"/>
          <w:kern w:val="0"/>
          <w:lang w:eastAsia="en-US"/>
        </w:rPr>
      </w:pPr>
      <w:hyperlink w:anchor="_Toc309835270" w:history="1">
        <w:r w:rsidR="00AD4B80" w:rsidRPr="00AD4B80">
          <w:rPr>
            <w:rStyle w:val="Hyperlink"/>
          </w:rPr>
          <w:t>2.1</w:t>
        </w:r>
        <w:r w:rsidR="00AD4B80" w:rsidRPr="00AD4B80">
          <w:rPr>
            <w:rFonts w:eastAsiaTheme="minorEastAsia" w:cstheme="minorBidi"/>
            <w:color w:val="auto"/>
            <w:kern w:val="0"/>
            <w:lang w:eastAsia="en-US"/>
          </w:rPr>
          <w:tab/>
        </w:r>
        <w:r w:rsidR="00AD4B80" w:rsidRPr="00AD4B80">
          <w:rPr>
            <w:rStyle w:val="Hyperlink"/>
          </w:rPr>
          <w:t>Rationale</w:t>
        </w:r>
        <w:r w:rsidR="00AD4B80" w:rsidRPr="00AD4B80">
          <w:rPr>
            <w:webHidden/>
          </w:rPr>
          <w:tab/>
        </w:r>
        <w:r w:rsidRPr="00AD4B80">
          <w:rPr>
            <w:webHidden/>
          </w:rPr>
          <w:fldChar w:fldCharType="begin"/>
        </w:r>
        <w:r w:rsidR="00AD4B80" w:rsidRPr="00AD4B80">
          <w:rPr>
            <w:webHidden/>
          </w:rPr>
          <w:instrText xml:space="preserve"> PAGEREF _Toc309835270 \h </w:instrText>
        </w:r>
        <w:r w:rsidRPr="00AD4B80">
          <w:rPr>
            <w:webHidden/>
          </w:rPr>
        </w:r>
        <w:r w:rsidRPr="00AD4B80">
          <w:rPr>
            <w:webHidden/>
          </w:rPr>
          <w:fldChar w:fldCharType="separate"/>
        </w:r>
        <w:r w:rsidR="002F432B">
          <w:rPr>
            <w:webHidden/>
          </w:rPr>
          <w:t>2</w:t>
        </w:r>
        <w:r w:rsidRPr="00AD4B80">
          <w:rPr>
            <w:webHidden/>
          </w:rPr>
          <w:fldChar w:fldCharType="end"/>
        </w:r>
      </w:hyperlink>
    </w:p>
    <w:p w:rsidR="00AD4B80" w:rsidRPr="00AD4B80" w:rsidRDefault="00800FBA" w:rsidP="00AD4B80">
      <w:pPr>
        <w:pStyle w:val="TOC2"/>
        <w:rPr>
          <w:rFonts w:eastAsiaTheme="minorEastAsia" w:cstheme="minorBidi"/>
          <w:color w:val="auto"/>
          <w:kern w:val="0"/>
          <w:lang w:eastAsia="en-US"/>
        </w:rPr>
      </w:pPr>
      <w:hyperlink w:anchor="_Toc309835271" w:history="1">
        <w:r w:rsidR="00AD4B80" w:rsidRPr="00AD4B80">
          <w:rPr>
            <w:rStyle w:val="Hyperlink"/>
          </w:rPr>
          <w:t>2.2</w:t>
        </w:r>
        <w:r w:rsidR="00AD4B80" w:rsidRPr="00AD4B80">
          <w:rPr>
            <w:rFonts w:eastAsiaTheme="minorEastAsia" w:cstheme="minorBidi"/>
            <w:color w:val="auto"/>
            <w:kern w:val="0"/>
            <w:lang w:eastAsia="en-US"/>
          </w:rPr>
          <w:tab/>
        </w:r>
        <w:r w:rsidR="00AD4B80" w:rsidRPr="00AD4B80">
          <w:rPr>
            <w:rStyle w:val="Hyperlink"/>
          </w:rPr>
          <w:t>Description of the Two Options for the Standard Battery</w:t>
        </w:r>
        <w:r w:rsidR="00AD4B80" w:rsidRPr="00AD4B80">
          <w:rPr>
            <w:webHidden/>
          </w:rPr>
          <w:tab/>
        </w:r>
        <w:r w:rsidRPr="00AD4B80">
          <w:rPr>
            <w:webHidden/>
          </w:rPr>
          <w:fldChar w:fldCharType="begin"/>
        </w:r>
        <w:r w:rsidR="00AD4B80" w:rsidRPr="00AD4B80">
          <w:rPr>
            <w:webHidden/>
          </w:rPr>
          <w:instrText xml:space="preserve"> PAGEREF _Toc309835271 \h </w:instrText>
        </w:r>
        <w:r w:rsidRPr="00AD4B80">
          <w:rPr>
            <w:webHidden/>
          </w:rPr>
        </w:r>
        <w:r w:rsidRPr="00AD4B80">
          <w:rPr>
            <w:webHidden/>
          </w:rPr>
          <w:fldChar w:fldCharType="separate"/>
        </w:r>
        <w:r w:rsidR="002F432B">
          <w:rPr>
            <w:webHidden/>
          </w:rPr>
          <w:t>2</w:t>
        </w:r>
        <w:r w:rsidRPr="00AD4B80">
          <w:rPr>
            <w:webHidden/>
          </w:rPr>
          <w:fldChar w:fldCharType="end"/>
        </w:r>
      </w:hyperlink>
    </w:p>
    <w:p w:rsidR="00AD4B80" w:rsidRPr="00AD4B80" w:rsidRDefault="00800FBA" w:rsidP="00AD4B80">
      <w:pPr>
        <w:pStyle w:val="TOC2"/>
        <w:rPr>
          <w:rFonts w:eastAsiaTheme="minorEastAsia" w:cstheme="minorBidi"/>
          <w:color w:val="auto"/>
          <w:kern w:val="0"/>
          <w:lang w:eastAsia="en-US"/>
        </w:rPr>
      </w:pPr>
      <w:hyperlink w:anchor="_Toc309835272" w:history="1">
        <w:r w:rsidR="00AD4B80" w:rsidRPr="00AD4B80">
          <w:rPr>
            <w:rStyle w:val="Hyperlink"/>
          </w:rPr>
          <w:t>2.3</w:t>
        </w:r>
        <w:r w:rsidR="00AD4B80" w:rsidRPr="00AD4B80">
          <w:rPr>
            <w:rFonts w:eastAsiaTheme="minorEastAsia" w:cstheme="minorBidi"/>
            <w:color w:val="auto"/>
            <w:kern w:val="0"/>
            <w:lang w:eastAsia="en-US"/>
          </w:rPr>
          <w:tab/>
        </w:r>
        <w:r w:rsidR="00AD4B80" w:rsidRPr="00AD4B80">
          <w:rPr>
            <w:rStyle w:val="Hyperlink"/>
          </w:rPr>
          <w:t>Modifications to the Test Battery</w:t>
        </w:r>
        <w:r w:rsidR="00AD4B80" w:rsidRPr="00AD4B80">
          <w:rPr>
            <w:webHidden/>
          </w:rPr>
          <w:tab/>
        </w:r>
        <w:r w:rsidRPr="00AD4B80">
          <w:rPr>
            <w:webHidden/>
          </w:rPr>
          <w:fldChar w:fldCharType="begin"/>
        </w:r>
        <w:r w:rsidR="00AD4B80" w:rsidRPr="00AD4B80">
          <w:rPr>
            <w:webHidden/>
          </w:rPr>
          <w:instrText xml:space="preserve"> PAGEREF _Toc309835272 \h </w:instrText>
        </w:r>
        <w:r w:rsidRPr="00AD4B80">
          <w:rPr>
            <w:webHidden/>
          </w:rPr>
        </w:r>
        <w:r w:rsidRPr="00AD4B80">
          <w:rPr>
            <w:webHidden/>
          </w:rPr>
          <w:fldChar w:fldCharType="separate"/>
        </w:r>
        <w:r w:rsidR="002F432B">
          <w:rPr>
            <w:webHidden/>
          </w:rPr>
          <w:t>4</w:t>
        </w:r>
        <w:r w:rsidRPr="00AD4B80">
          <w:rPr>
            <w:webHidden/>
          </w:rPr>
          <w:fldChar w:fldCharType="end"/>
        </w:r>
      </w:hyperlink>
    </w:p>
    <w:p w:rsidR="00AD4B80" w:rsidRPr="00AD4B80" w:rsidRDefault="00800FBA" w:rsidP="002F432B">
      <w:pPr>
        <w:pStyle w:val="TOC3"/>
        <w:rPr>
          <w:rFonts w:eastAsiaTheme="minorEastAsia" w:cstheme="minorBidi"/>
          <w:color w:val="auto"/>
          <w:kern w:val="0"/>
          <w:lang w:eastAsia="en-US"/>
        </w:rPr>
      </w:pPr>
      <w:hyperlink w:anchor="_Toc309835273" w:history="1">
        <w:r w:rsidR="00AD4B80" w:rsidRPr="00AD4B80">
          <w:rPr>
            <w:rStyle w:val="Hyperlink"/>
            <w:i/>
          </w:rPr>
          <w:t>2.3.1</w:t>
        </w:r>
        <w:r w:rsidR="00AD4B80" w:rsidRPr="00AD4B80">
          <w:rPr>
            <w:rFonts w:eastAsiaTheme="minorEastAsia" w:cstheme="minorBidi"/>
            <w:color w:val="auto"/>
            <w:kern w:val="0"/>
            <w:lang w:eastAsia="en-US"/>
          </w:rPr>
          <w:tab/>
        </w:r>
        <w:r w:rsidR="00AD4B80" w:rsidRPr="00AD4B80">
          <w:rPr>
            <w:rStyle w:val="Hyperlink"/>
            <w:i/>
          </w:rPr>
          <w:t>Exploratory Clinical Studies</w:t>
        </w:r>
        <w:r w:rsidR="00AD4B80" w:rsidRPr="00AD4B80">
          <w:rPr>
            <w:webHidden/>
          </w:rPr>
          <w:tab/>
        </w:r>
        <w:r w:rsidRPr="00AD4B80">
          <w:rPr>
            <w:webHidden/>
          </w:rPr>
          <w:fldChar w:fldCharType="begin"/>
        </w:r>
        <w:r w:rsidR="00AD4B80" w:rsidRPr="00AD4B80">
          <w:rPr>
            <w:webHidden/>
          </w:rPr>
          <w:instrText xml:space="preserve"> PAGEREF _Toc309835273 \h </w:instrText>
        </w:r>
        <w:r w:rsidRPr="00AD4B80">
          <w:rPr>
            <w:webHidden/>
          </w:rPr>
        </w:r>
        <w:r w:rsidRPr="00AD4B80">
          <w:rPr>
            <w:webHidden/>
          </w:rPr>
          <w:fldChar w:fldCharType="separate"/>
        </w:r>
        <w:r w:rsidR="002F432B">
          <w:rPr>
            <w:webHidden/>
          </w:rPr>
          <w:t>4</w:t>
        </w:r>
        <w:r w:rsidRPr="00AD4B80">
          <w:rPr>
            <w:webHidden/>
          </w:rPr>
          <w:fldChar w:fldCharType="end"/>
        </w:r>
      </w:hyperlink>
    </w:p>
    <w:p w:rsidR="00AD4B80" w:rsidRPr="00AD4B80" w:rsidRDefault="00800FBA" w:rsidP="002F432B">
      <w:pPr>
        <w:pStyle w:val="TOC3"/>
        <w:rPr>
          <w:rFonts w:eastAsiaTheme="minorEastAsia" w:cstheme="minorBidi"/>
          <w:color w:val="auto"/>
          <w:kern w:val="0"/>
          <w:lang w:eastAsia="en-US"/>
        </w:rPr>
      </w:pPr>
      <w:hyperlink w:anchor="_Toc309835274" w:history="1">
        <w:r w:rsidR="00AD4B80" w:rsidRPr="00AD4B80">
          <w:rPr>
            <w:rStyle w:val="Hyperlink"/>
            <w:i/>
          </w:rPr>
          <w:t>2.3.2</w:t>
        </w:r>
        <w:r w:rsidR="00AD4B80" w:rsidRPr="00AD4B80">
          <w:rPr>
            <w:rFonts w:eastAsiaTheme="minorEastAsia" w:cstheme="minorBidi"/>
            <w:color w:val="auto"/>
            <w:kern w:val="0"/>
            <w:lang w:eastAsia="en-US"/>
          </w:rPr>
          <w:tab/>
        </w:r>
        <w:r w:rsidR="00AD4B80" w:rsidRPr="00AD4B80">
          <w:rPr>
            <w:rStyle w:val="Hyperlink"/>
            <w:i/>
          </w:rPr>
          <w:t>Testing Compounds that are Toxic to Bacteria</w:t>
        </w:r>
        <w:r w:rsidR="00AD4B80" w:rsidRPr="00AD4B80">
          <w:rPr>
            <w:webHidden/>
          </w:rPr>
          <w:tab/>
        </w:r>
        <w:r w:rsidRPr="00AD4B80">
          <w:rPr>
            <w:webHidden/>
          </w:rPr>
          <w:fldChar w:fldCharType="begin"/>
        </w:r>
        <w:r w:rsidR="00AD4B80" w:rsidRPr="00AD4B80">
          <w:rPr>
            <w:webHidden/>
          </w:rPr>
          <w:instrText xml:space="preserve"> PAGEREF _Toc309835274 \h </w:instrText>
        </w:r>
        <w:r w:rsidRPr="00AD4B80">
          <w:rPr>
            <w:webHidden/>
          </w:rPr>
        </w:r>
        <w:r w:rsidRPr="00AD4B80">
          <w:rPr>
            <w:webHidden/>
          </w:rPr>
          <w:fldChar w:fldCharType="separate"/>
        </w:r>
        <w:r w:rsidR="002F432B">
          <w:rPr>
            <w:webHidden/>
          </w:rPr>
          <w:t>4</w:t>
        </w:r>
        <w:r w:rsidRPr="00AD4B80">
          <w:rPr>
            <w:webHidden/>
          </w:rPr>
          <w:fldChar w:fldCharType="end"/>
        </w:r>
      </w:hyperlink>
    </w:p>
    <w:p w:rsidR="00AD4B80" w:rsidRPr="002F432B" w:rsidRDefault="00800FBA" w:rsidP="002F432B">
      <w:pPr>
        <w:pStyle w:val="TOC3"/>
        <w:rPr>
          <w:rFonts w:eastAsiaTheme="minorEastAsia" w:cstheme="minorBidi"/>
          <w:color w:val="auto"/>
          <w:kern w:val="0"/>
          <w:lang w:eastAsia="en-US"/>
        </w:rPr>
      </w:pPr>
      <w:hyperlink w:anchor="_Toc309835275" w:history="1">
        <w:r w:rsidR="00AD4B80" w:rsidRPr="002F432B">
          <w:rPr>
            <w:rStyle w:val="Hyperlink"/>
            <w:i/>
          </w:rPr>
          <w:t>2.3.3</w:t>
        </w:r>
        <w:r w:rsidR="00AD4B80" w:rsidRPr="002F432B">
          <w:rPr>
            <w:rFonts w:eastAsiaTheme="minorEastAsia" w:cstheme="minorBidi"/>
            <w:color w:val="auto"/>
            <w:kern w:val="0"/>
            <w:lang w:eastAsia="en-US"/>
          </w:rPr>
          <w:tab/>
        </w:r>
        <w:r w:rsidR="00AD4B80" w:rsidRPr="002F432B">
          <w:rPr>
            <w:rStyle w:val="Hyperlink"/>
            <w:i/>
          </w:rPr>
          <w:t>Compounds Bearing Structural Alerts for Genotoxic Activity</w:t>
        </w:r>
        <w:r w:rsidR="00AD4B80" w:rsidRPr="002F432B">
          <w:rPr>
            <w:webHidden/>
          </w:rPr>
          <w:tab/>
        </w:r>
        <w:r w:rsidRPr="002F432B">
          <w:rPr>
            <w:webHidden/>
          </w:rPr>
          <w:fldChar w:fldCharType="begin"/>
        </w:r>
        <w:r w:rsidR="00AD4B80" w:rsidRPr="002F432B">
          <w:rPr>
            <w:webHidden/>
          </w:rPr>
          <w:instrText xml:space="preserve"> PAGEREF _Toc309835275 \h </w:instrText>
        </w:r>
        <w:r w:rsidRPr="002F432B">
          <w:rPr>
            <w:webHidden/>
          </w:rPr>
        </w:r>
        <w:r w:rsidRPr="002F432B">
          <w:rPr>
            <w:webHidden/>
          </w:rPr>
          <w:fldChar w:fldCharType="separate"/>
        </w:r>
        <w:r w:rsidR="002F432B" w:rsidRPr="002F432B">
          <w:rPr>
            <w:webHidden/>
          </w:rPr>
          <w:t>4</w:t>
        </w:r>
        <w:r w:rsidRPr="002F432B">
          <w:rPr>
            <w:webHidden/>
          </w:rPr>
          <w:fldChar w:fldCharType="end"/>
        </w:r>
      </w:hyperlink>
    </w:p>
    <w:p w:rsidR="00AD4B80" w:rsidRPr="002F432B" w:rsidRDefault="00800FBA" w:rsidP="002F432B">
      <w:pPr>
        <w:pStyle w:val="TOC3"/>
        <w:rPr>
          <w:rFonts w:eastAsiaTheme="minorEastAsia" w:cstheme="minorBidi"/>
          <w:color w:val="auto"/>
          <w:kern w:val="0"/>
          <w:lang w:eastAsia="en-US"/>
        </w:rPr>
      </w:pPr>
      <w:hyperlink w:anchor="_Toc309835276" w:history="1">
        <w:r w:rsidR="00AD4B80" w:rsidRPr="002F432B">
          <w:rPr>
            <w:rStyle w:val="Hyperlink"/>
            <w:i/>
          </w:rPr>
          <w:t>2.3.4</w:t>
        </w:r>
        <w:r w:rsidR="00AD4B80" w:rsidRPr="002F432B">
          <w:rPr>
            <w:rFonts w:eastAsiaTheme="minorEastAsia" w:cstheme="minorBidi"/>
            <w:color w:val="auto"/>
            <w:kern w:val="0"/>
            <w:lang w:eastAsia="en-US"/>
          </w:rPr>
          <w:tab/>
        </w:r>
        <w:r w:rsidR="00AD4B80" w:rsidRPr="002F432B">
          <w:rPr>
            <w:rStyle w:val="Hyperlink"/>
            <w:i/>
          </w:rPr>
          <w:t xml:space="preserve">Limitations to the Use of </w:t>
        </w:r>
        <w:r w:rsidR="00AD4B80" w:rsidRPr="002F432B">
          <w:rPr>
            <w:rStyle w:val="Hyperlink"/>
            <w:i/>
            <w:iCs/>
          </w:rPr>
          <w:t xml:space="preserve">In Vivo </w:t>
        </w:r>
        <w:r w:rsidR="00AD4B80" w:rsidRPr="002F432B">
          <w:rPr>
            <w:rStyle w:val="Hyperlink"/>
            <w:i/>
          </w:rPr>
          <w:t>Tests</w:t>
        </w:r>
        <w:r w:rsidR="00AD4B80" w:rsidRPr="002F432B">
          <w:rPr>
            <w:webHidden/>
          </w:rPr>
          <w:tab/>
        </w:r>
        <w:r w:rsidRPr="002F432B">
          <w:rPr>
            <w:webHidden/>
          </w:rPr>
          <w:fldChar w:fldCharType="begin"/>
        </w:r>
        <w:r w:rsidR="00AD4B80" w:rsidRPr="002F432B">
          <w:rPr>
            <w:webHidden/>
          </w:rPr>
          <w:instrText xml:space="preserve"> PAGEREF _Toc309835276 \h </w:instrText>
        </w:r>
        <w:r w:rsidRPr="002F432B">
          <w:rPr>
            <w:webHidden/>
          </w:rPr>
        </w:r>
        <w:r w:rsidRPr="002F432B">
          <w:rPr>
            <w:webHidden/>
          </w:rPr>
          <w:fldChar w:fldCharType="separate"/>
        </w:r>
        <w:r w:rsidR="002F432B" w:rsidRPr="002F432B">
          <w:rPr>
            <w:webHidden/>
          </w:rPr>
          <w:t>4</w:t>
        </w:r>
        <w:r w:rsidRPr="002F432B">
          <w:rPr>
            <w:webHidden/>
          </w:rPr>
          <w:fldChar w:fldCharType="end"/>
        </w:r>
      </w:hyperlink>
    </w:p>
    <w:p w:rsidR="00AD4B80" w:rsidRPr="00AD4B80" w:rsidRDefault="00800FBA" w:rsidP="00AD4B80">
      <w:pPr>
        <w:pStyle w:val="TOC2"/>
        <w:rPr>
          <w:rFonts w:eastAsiaTheme="minorEastAsia" w:cstheme="minorBidi"/>
          <w:color w:val="auto"/>
          <w:kern w:val="0"/>
          <w:lang w:eastAsia="en-US"/>
        </w:rPr>
      </w:pPr>
      <w:hyperlink w:anchor="_Toc309835277" w:history="1">
        <w:r w:rsidR="00AD4B80" w:rsidRPr="00AD4B80">
          <w:rPr>
            <w:rStyle w:val="Hyperlink"/>
          </w:rPr>
          <w:t>2.4</w:t>
        </w:r>
        <w:r w:rsidR="00AD4B80" w:rsidRPr="00AD4B80">
          <w:rPr>
            <w:rFonts w:eastAsiaTheme="minorEastAsia" w:cstheme="minorBidi"/>
            <w:color w:val="auto"/>
            <w:kern w:val="0"/>
            <w:lang w:eastAsia="en-US"/>
          </w:rPr>
          <w:tab/>
        </w:r>
        <w:r w:rsidR="00AD4B80" w:rsidRPr="00AD4B80">
          <w:rPr>
            <w:rStyle w:val="Hyperlink"/>
          </w:rPr>
          <w:t>Detection of Germ Cell Mutagens</w:t>
        </w:r>
        <w:r w:rsidR="00AD4B80" w:rsidRPr="00AD4B80">
          <w:rPr>
            <w:webHidden/>
          </w:rPr>
          <w:tab/>
        </w:r>
        <w:r w:rsidRPr="00AD4B80">
          <w:rPr>
            <w:webHidden/>
          </w:rPr>
          <w:fldChar w:fldCharType="begin"/>
        </w:r>
        <w:r w:rsidR="00AD4B80" w:rsidRPr="00AD4B80">
          <w:rPr>
            <w:webHidden/>
          </w:rPr>
          <w:instrText xml:space="preserve"> PAGEREF _Toc309835277 \h </w:instrText>
        </w:r>
        <w:r w:rsidRPr="00AD4B80">
          <w:rPr>
            <w:webHidden/>
          </w:rPr>
        </w:r>
        <w:r w:rsidRPr="00AD4B80">
          <w:rPr>
            <w:webHidden/>
          </w:rPr>
          <w:fldChar w:fldCharType="separate"/>
        </w:r>
        <w:r w:rsidR="002F432B">
          <w:rPr>
            <w:webHidden/>
          </w:rPr>
          <w:t>5</w:t>
        </w:r>
        <w:r w:rsidRPr="00AD4B80">
          <w:rPr>
            <w:webHidden/>
          </w:rPr>
          <w:fldChar w:fldCharType="end"/>
        </w:r>
      </w:hyperlink>
    </w:p>
    <w:p w:rsidR="00AD4B80" w:rsidRPr="00AD4B80" w:rsidRDefault="00800FBA" w:rsidP="00AD4B80">
      <w:pPr>
        <w:pStyle w:val="TOC1"/>
        <w:rPr>
          <w:rFonts w:eastAsiaTheme="minorEastAsia" w:cstheme="minorBidi"/>
          <w:color w:val="auto"/>
          <w:kern w:val="0"/>
          <w:lang w:eastAsia="en-US"/>
        </w:rPr>
      </w:pPr>
      <w:hyperlink w:anchor="_Toc309835278" w:history="1">
        <w:r w:rsidR="00AD4B80" w:rsidRPr="00AD4B80">
          <w:rPr>
            <w:rStyle w:val="Hyperlink"/>
            <w:smallCaps/>
          </w:rPr>
          <w:t>3.</w:t>
        </w:r>
        <w:r w:rsidR="00AD4B80" w:rsidRPr="00AD4B80">
          <w:rPr>
            <w:rFonts w:eastAsiaTheme="minorEastAsia" w:cstheme="minorBidi"/>
            <w:color w:val="auto"/>
            <w:kern w:val="0"/>
            <w:lang w:eastAsia="en-US"/>
          </w:rPr>
          <w:tab/>
        </w:r>
        <w:r w:rsidR="00AD4B80" w:rsidRPr="00AD4B80">
          <w:rPr>
            <w:rStyle w:val="Hyperlink"/>
            <w:smallCaps/>
          </w:rPr>
          <w:t>Recommendations for</w:t>
        </w:r>
        <w:r w:rsidR="00AD4B80" w:rsidRPr="00AD4B80">
          <w:rPr>
            <w:rStyle w:val="Hyperlink"/>
          </w:rPr>
          <w:t xml:space="preserve"> </w:t>
        </w:r>
        <w:r w:rsidR="00AD4B80" w:rsidRPr="00AD4B80">
          <w:rPr>
            <w:rStyle w:val="Hyperlink"/>
            <w:i/>
            <w:iCs/>
            <w:smallCaps/>
          </w:rPr>
          <w:t>In Vitro</w:t>
        </w:r>
        <w:r w:rsidR="00AD4B80" w:rsidRPr="00AD4B80">
          <w:rPr>
            <w:rStyle w:val="Hyperlink"/>
            <w:i/>
            <w:iCs/>
          </w:rPr>
          <w:t xml:space="preserve"> </w:t>
        </w:r>
        <w:r w:rsidR="00AD4B80" w:rsidRPr="00AD4B80">
          <w:rPr>
            <w:rStyle w:val="Hyperlink"/>
            <w:smallCaps/>
          </w:rPr>
          <w:t>Tests</w:t>
        </w:r>
        <w:r w:rsidR="00AD4B80" w:rsidRPr="00AD4B80">
          <w:rPr>
            <w:webHidden/>
          </w:rPr>
          <w:tab/>
        </w:r>
        <w:r w:rsidRPr="00AD4B80">
          <w:rPr>
            <w:webHidden/>
          </w:rPr>
          <w:fldChar w:fldCharType="begin"/>
        </w:r>
        <w:r w:rsidR="00AD4B80" w:rsidRPr="00AD4B80">
          <w:rPr>
            <w:webHidden/>
          </w:rPr>
          <w:instrText xml:space="preserve"> PAGEREF _Toc309835278 \h </w:instrText>
        </w:r>
        <w:r w:rsidRPr="00AD4B80">
          <w:rPr>
            <w:webHidden/>
          </w:rPr>
        </w:r>
        <w:r w:rsidRPr="00AD4B80">
          <w:rPr>
            <w:webHidden/>
          </w:rPr>
          <w:fldChar w:fldCharType="separate"/>
        </w:r>
        <w:r w:rsidR="002F432B">
          <w:rPr>
            <w:webHidden/>
          </w:rPr>
          <w:t>5</w:t>
        </w:r>
        <w:r w:rsidRPr="00AD4B80">
          <w:rPr>
            <w:webHidden/>
          </w:rPr>
          <w:fldChar w:fldCharType="end"/>
        </w:r>
      </w:hyperlink>
    </w:p>
    <w:p w:rsidR="00AD4B80" w:rsidRPr="00AD4B80" w:rsidRDefault="00800FBA" w:rsidP="00AD4B80">
      <w:pPr>
        <w:pStyle w:val="TOC2"/>
        <w:rPr>
          <w:rFonts w:eastAsiaTheme="minorEastAsia" w:cstheme="minorBidi"/>
          <w:color w:val="auto"/>
          <w:kern w:val="0"/>
          <w:lang w:eastAsia="en-US"/>
        </w:rPr>
      </w:pPr>
      <w:hyperlink w:anchor="_Toc309835279" w:history="1">
        <w:r w:rsidR="00AD4B80" w:rsidRPr="00AD4B80">
          <w:rPr>
            <w:rStyle w:val="Hyperlink"/>
          </w:rPr>
          <w:t>3.1</w:t>
        </w:r>
        <w:r w:rsidR="00AD4B80" w:rsidRPr="00AD4B80">
          <w:rPr>
            <w:rFonts w:eastAsiaTheme="minorEastAsia" w:cstheme="minorBidi"/>
            <w:color w:val="auto"/>
            <w:kern w:val="0"/>
            <w:lang w:eastAsia="en-US"/>
          </w:rPr>
          <w:tab/>
        </w:r>
        <w:r w:rsidR="00AD4B80" w:rsidRPr="00AD4B80">
          <w:rPr>
            <w:rStyle w:val="Hyperlink"/>
          </w:rPr>
          <w:t>Test Repetition and Interpretation</w:t>
        </w:r>
        <w:r w:rsidR="00AD4B80" w:rsidRPr="00AD4B80">
          <w:rPr>
            <w:webHidden/>
          </w:rPr>
          <w:tab/>
        </w:r>
        <w:r w:rsidRPr="00AD4B80">
          <w:rPr>
            <w:webHidden/>
          </w:rPr>
          <w:fldChar w:fldCharType="begin"/>
        </w:r>
        <w:r w:rsidR="00AD4B80" w:rsidRPr="00AD4B80">
          <w:rPr>
            <w:webHidden/>
          </w:rPr>
          <w:instrText xml:space="preserve"> PAGEREF _Toc309835279 \h </w:instrText>
        </w:r>
        <w:r w:rsidRPr="00AD4B80">
          <w:rPr>
            <w:webHidden/>
          </w:rPr>
        </w:r>
        <w:r w:rsidRPr="00AD4B80">
          <w:rPr>
            <w:webHidden/>
          </w:rPr>
          <w:fldChar w:fldCharType="separate"/>
        </w:r>
        <w:r w:rsidR="002F432B">
          <w:rPr>
            <w:webHidden/>
          </w:rPr>
          <w:t>5</w:t>
        </w:r>
        <w:r w:rsidRPr="00AD4B80">
          <w:rPr>
            <w:webHidden/>
          </w:rPr>
          <w:fldChar w:fldCharType="end"/>
        </w:r>
      </w:hyperlink>
    </w:p>
    <w:p w:rsidR="00AD4B80" w:rsidRPr="00AD4B80" w:rsidRDefault="00800FBA" w:rsidP="00AD4B80">
      <w:pPr>
        <w:pStyle w:val="TOC2"/>
        <w:rPr>
          <w:rFonts w:eastAsiaTheme="minorEastAsia" w:cstheme="minorBidi"/>
          <w:color w:val="auto"/>
          <w:kern w:val="0"/>
          <w:lang w:eastAsia="en-US"/>
        </w:rPr>
      </w:pPr>
      <w:hyperlink w:anchor="_Toc309835280" w:history="1">
        <w:r w:rsidR="00AD4B80" w:rsidRPr="00AD4B80">
          <w:rPr>
            <w:rStyle w:val="Hyperlink"/>
          </w:rPr>
          <w:t>3.2</w:t>
        </w:r>
        <w:r w:rsidR="00AD4B80" w:rsidRPr="00AD4B80">
          <w:rPr>
            <w:rFonts w:eastAsiaTheme="minorEastAsia" w:cstheme="minorBidi"/>
            <w:color w:val="auto"/>
            <w:kern w:val="0"/>
            <w:lang w:eastAsia="en-US"/>
          </w:rPr>
          <w:tab/>
        </w:r>
        <w:r w:rsidR="00AD4B80" w:rsidRPr="00AD4B80">
          <w:rPr>
            <w:rStyle w:val="Hyperlink"/>
          </w:rPr>
          <w:t>Recommended Protocol for the Bacterial Mutation Assay</w:t>
        </w:r>
        <w:r w:rsidR="00AD4B80" w:rsidRPr="00AD4B80">
          <w:rPr>
            <w:webHidden/>
          </w:rPr>
          <w:tab/>
        </w:r>
        <w:r w:rsidRPr="00AD4B80">
          <w:rPr>
            <w:webHidden/>
          </w:rPr>
          <w:fldChar w:fldCharType="begin"/>
        </w:r>
        <w:r w:rsidR="00AD4B80" w:rsidRPr="00AD4B80">
          <w:rPr>
            <w:webHidden/>
          </w:rPr>
          <w:instrText xml:space="preserve"> PAGEREF _Toc309835280 \h </w:instrText>
        </w:r>
        <w:r w:rsidRPr="00AD4B80">
          <w:rPr>
            <w:webHidden/>
          </w:rPr>
        </w:r>
        <w:r w:rsidRPr="00AD4B80">
          <w:rPr>
            <w:webHidden/>
          </w:rPr>
          <w:fldChar w:fldCharType="separate"/>
        </w:r>
        <w:r w:rsidR="002F432B">
          <w:rPr>
            <w:webHidden/>
          </w:rPr>
          <w:t>5</w:t>
        </w:r>
        <w:r w:rsidRPr="00AD4B80">
          <w:rPr>
            <w:webHidden/>
          </w:rPr>
          <w:fldChar w:fldCharType="end"/>
        </w:r>
      </w:hyperlink>
    </w:p>
    <w:p w:rsidR="00AD4B80" w:rsidRPr="00AD4B80" w:rsidRDefault="00800FBA" w:rsidP="002F432B">
      <w:pPr>
        <w:pStyle w:val="TOC3"/>
        <w:rPr>
          <w:rFonts w:eastAsiaTheme="minorEastAsia" w:cstheme="minorBidi"/>
          <w:color w:val="auto"/>
          <w:kern w:val="0"/>
          <w:lang w:eastAsia="en-US"/>
        </w:rPr>
      </w:pPr>
      <w:hyperlink w:anchor="_Toc309835281" w:history="1">
        <w:r w:rsidR="00AD4B80" w:rsidRPr="00AD4B80">
          <w:rPr>
            <w:rStyle w:val="Hyperlink"/>
            <w:i/>
          </w:rPr>
          <w:t>3.2.1</w:t>
        </w:r>
        <w:r w:rsidR="00AD4B80" w:rsidRPr="00AD4B80">
          <w:rPr>
            <w:rFonts w:eastAsiaTheme="minorEastAsia" w:cstheme="minorBidi"/>
            <w:color w:val="auto"/>
            <w:kern w:val="0"/>
            <w:lang w:eastAsia="en-US"/>
          </w:rPr>
          <w:tab/>
        </w:r>
        <w:r w:rsidR="00AD4B80" w:rsidRPr="00AD4B80">
          <w:rPr>
            <w:rStyle w:val="Hyperlink"/>
            <w:i/>
          </w:rPr>
          <w:t>Selection of Top Dose Level</w:t>
        </w:r>
        <w:r w:rsidR="00AD4B80" w:rsidRPr="00AD4B80">
          <w:rPr>
            <w:webHidden/>
          </w:rPr>
          <w:tab/>
        </w:r>
        <w:r w:rsidRPr="00AD4B80">
          <w:rPr>
            <w:webHidden/>
          </w:rPr>
          <w:fldChar w:fldCharType="begin"/>
        </w:r>
        <w:r w:rsidR="00AD4B80" w:rsidRPr="00AD4B80">
          <w:rPr>
            <w:webHidden/>
          </w:rPr>
          <w:instrText xml:space="preserve"> PAGEREF _Toc309835281 \h </w:instrText>
        </w:r>
        <w:r w:rsidRPr="00AD4B80">
          <w:rPr>
            <w:webHidden/>
          </w:rPr>
        </w:r>
        <w:r w:rsidRPr="00AD4B80">
          <w:rPr>
            <w:webHidden/>
          </w:rPr>
          <w:fldChar w:fldCharType="separate"/>
        </w:r>
        <w:r w:rsidR="002F432B">
          <w:rPr>
            <w:webHidden/>
          </w:rPr>
          <w:t>5</w:t>
        </w:r>
        <w:r w:rsidRPr="00AD4B80">
          <w:rPr>
            <w:webHidden/>
          </w:rPr>
          <w:fldChar w:fldCharType="end"/>
        </w:r>
      </w:hyperlink>
    </w:p>
    <w:p w:rsidR="00AD4B80" w:rsidRPr="00AD4B80" w:rsidRDefault="00800FBA" w:rsidP="002F432B">
      <w:pPr>
        <w:pStyle w:val="TOC3"/>
        <w:rPr>
          <w:rFonts w:eastAsiaTheme="minorEastAsia" w:cstheme="minorBidi"/>
          <w:color w:val="auto"/>
          <w:kern w:val="0"/>
          <w:lang w:eastAsia="en-US"/>
        </w:rPr>
      </w:pPr>
      <w:hyperlink w:anchor="_Toc309835282" w:history="1">
        <w:r w:rsidR="00AD4B80" w:rsidRPr="00AD4B80">
          <w:rPr>
            <w:rStyle w:val="Hyperlink"/>
            <w:i/>
          </w:rPr>
          <w:t>3.2.2</w:t>
        </w:r>
        <w:r w:rsidR="00AD4B80" w:rsidRPr="00AD4B80">
          <w:rPr>
            <w:rFonts w:eastAsiaTheme="minorEastAsia" w:cstheme="minorBidi"/>
            <w:color w:val="auto"/>
            <w:kern w:val="0"/>
            <w:lang w:eastAsia="en-US"/>
          </w:rPr>
          <w:tab/>
        </w:r>
        <w:r w:rsidR="00AD4B80" w:rsidRPr="00AD4B80">
          <w:rPr>
            <w:rStyle w:val="Hyperlink"/>
            <w:i/>
          </w:rPr>
          <w:t>Study Design/Test Protocol</w:t>
        </w:r>
        <w:r w:rsidR="00AD4B80" w:rsidRPr="00AD4B80">
          <w:rPr>
            <w:webHidden/>
          </w:rPr>
          <w:tab/>
        </w:r>
        <w:r w:rsidRPr="00AD4B80">
          <w:rPr>
            <w:webHidden/>
          </w:rPr>
          <w:fldChar w:fldCharType="begin"/>
        </w:r>
        <w:r w:rsidR="00AD4B80" w:rsidRPr="00AD4B80">
          <w:rPr>
            <w:webHidden/>
          </w:rPr>
          <w:instrText xml:space="preserve"> PAGEREF _Toc309835282 \h </w:instrText>
        </w:r>
        <w:r w:rsidRPr="00AD4B80">
          <w:rPr>
            <w:webHidden/>
          </w:rPr>
        </w:r>
        <w:r w:rsidRPr="00AD4B80">
          <w:rPr>
            <w:webHidden/>
          </w:rPr>
          <w:fldChar w:fldCharType="separate"/>
        </w:r>
        <w:r w:rsidR="002F432B">
          <w:rPr>
            <w:webHidden/>
          </w:rPr>
          <w:t>5</w:t>
        </w:r>
        <w:r w:rsidRPr="00AD4B80">
          <w:rPr>
            <w:webHidden/>
          </w:rPr>
          <w:fldChar w:fldCharType="end"/>
        </w:r>
      </w:hyperlink>
    </w:p>
    <w:p w:rsidR="00AD4B80" w:rsidRPr="00AD4B80" w:rsidRDefault="00800FBA" w:rsidP="00AD4B80">
      <w:pPr>
        <w:pStyle w:val="TOC2"/>
        <w:rPr>
          <w:rFonts w:eastAsiaTheme="minorEastAsia" w:cstheme="minorBidi"/>
          <w:color w:val="auto"/>
          <w:kern w:val="0"/>
          <w:lang w:eastAsia="en-US"/>
        </w:rPr>
      </w:pPr>
      <w:hyperlink w:anchor="_Toc309835283" w:history="1">
        <w:r w:rsidR="00AD4B80" w:rsidRPr="00AD4B80">
          <w:rPr>
            <w:rStyle w:val="Hyperlink"/>
          </w:rPr>
          <w:t>3.3</w:t>
        </w:r>
        <w:r w:rsidR="00AD4B80" w:rsidRPr="00AD4B80">
          <w:rPr>
            <w:rFonts w:eastAsiaTheme="minorEastAsia" w:cstheme="minorBidi"/>
            <w:color w:val="auto"/>
            <w:kern w:val="0"/>
            <w:lang w:eastAsia="en-US"/>
          </w:rPr>
          <w:tab/>
        </w:r>
        <w:r w:rsidR="00AD4B80" w:rsidRPr="00AD4B80">
          <w:rPr>
            <w:rStyle w:val="Hyperlink"/>
          </w:rPr>
          <w:t>Recommended Protocols for the Mammalian Cell Assays</w:t>
        </w:r>
        <w:r w:rsidR="00AD4B80" w:rsidRPr="00AD4B80">
          <w:rPr>
            <w:webHidden/>
          </w:rPr>
          <w:tab/>
        </w:r>
        <w:r w:rsidRPr="00AD4B80">
          <w:rPr>
            <w:webHidden/>
          </w:rPr>
          <w:fldChar w:fldCharType="begin"/>
        </w:r>
        <w:r w:rsidR="00AD4B80" w:rsidRPr="00AD4B80">
          <w:rPr>
            <w:webHidden/>
          </w:rPr>
          <w:instrText xml:space="preserve"> PAGEREF _Toc309835283 \h </w:instrText>
        </w:r>
        <w:r w:rsidRPr="00AD4B80">
          <w:rPr>
            <w:webHidden/>
          </w:rPr>
        </w:r>
        <w:r w:rsidRPr="00AD4B80">
          <w:rPr>
            <w:webHidden/>
          </w:rPr>
          <w:fldChar w:fldCharType="separate"/>
        </w:r>
        <w:r w:rsidR="002F432B">
          <w:rPr>
            <w:webHidden/>
          </w:rPr>
          <w:t>6</w:t>
        </w:r>
        <w:r w:rsidRPr="00AD4B80">
          <w:rPr>
            <w:webHidden/>
          </w:rPr>
          <w:fldChar w:fldCharType="end"/>
        </w:r>
      </w:hyperlink>
    </w:p>
    <w:p w:rsidR="00AD4B80" w:rsidRPr="00AD4B80" w:rsidRDefault="00800FBA" w:rsidP="002F432B">
      <w:pPr>
        <w:pStyle w:val="TOC3"/>
        <w:rPr>
          <w:rFonts w:eastAsiaTheme="minorEastAsia" w:cstheme="minorBidi"/>
          <w:color w:val="auto"/>
          <w:kern w:val="0"/>
          <w:lang w:eastAsia="en-US"/>
        </w:rPr>
      </w:pPr>
      <w:hyperlink w:anchor="_Toc309835284" w:history="1">
        <w:r w:rsidR="00AD4B80" w:rsidRPr="00AD4B80">
          <w:rPr>
            <w:rStyle w:val="Hyperlink"/>
            <w:i/>
          </w:rPr>
          <w:t>3.3.1</w:t>
        </w:r>
        <w:r w:rsidR="00AD4B80" w:rsidRPr="00AD4B80">
          <w:rPr>
            <w:rFonts w:eastAsiaTheme="minorEastAsia" w:cstheme="minorBidi"/>
            <w:color w:val="auto"/>
            <w:kern w:val="0"/>
            <w:lang w:eastAsia="en-US"/>
          </w:rPr>
          <w:tab/>
        </w:r>
        <w:r w:rsidR="00AD4B80" w:rsidRPr="00AD4B80">
          <w:rPr>
            <w:rStyle w:val="Hyperlink"/>
            <w:i/>
          </w:rPr>
          <w:t>Selection of Top Concentration</w:t>
        </w:r>
        <w:r w:rsidR="00AD4B80" w:rsidRPr="00AD4B80">
          <w:rPr>
            <w:webHidden/>
          </w:rPr>
          <w:tab/>
        </w:r>
        <w:r w:rsidRPr="00AD4B80">
          <w:rPr>
            <w:webHidden/>
          </w:rPr>
          <w:fldChar w:fldCharType="begin"/>
        </w:r>
        <w:r w:rsidR="00AD4B80" w:rsidRPr="00AD4B80">
          <w:rPr>
            <w:webHidden/>
          </w:rPr>
          <w:instrText xml:space="preserve"> PAGEREF _Toc309835284 \h </w:instrText>
        </w:r>
        <w:r w:rsidRPr="00AD4B80">
          <w:rPr>
            <w:webHidden/>
          </w:rPr>
        </w:r>
        <w:r w:rsidRPr="00AD4B80">
          <w:rPr>
            <w:webHidden/>
          </w:rPr>
          <w:fldChar w:fldCharType="separate"/>
        </w:r>
        <w:r w:rsidR="002F432B">
          <w:rPr>
            <w:webHidden/>
          </w:rPr>
          <w:t>6</w:t>
        </w:r>
        <w:r w:rsidRPr="00AD4B80">
          <w:rPr>
            <w:webHidden/>
          </w:rPr>
          <w:fldChar w:fldCharType="end"/>
        </w:r>
      </w:hyperlink>
    </w:p>
    <w:p w:rsidR="00AD4B80" w:rsidRPr="00AD4B80" w:rsidRDefault="00800FBA" w:rsidP="002F432B">
      <w:pPr>
        <w:pStyle w:val="TOC3"/>
        <w:rPr>
          <w:rFonts w:eastAsiaTheme="minorEastAsia" w:cstheme="minorBidi"/>
          <w:color w:val="auto"/>
          <w:kern w:val="0"/>
          <w:lang w:eastAsia="en-US"/>
        </w:rPr>
      </w:pPr>
      <w:hyperlink w:anchor="_Toc309835285" w:history="1">
        <w:r w:rsidR="00AD4B80" w:rsidRPr="00AD4B80">
          <w:rPr>
            <w:rStyle w:val="Hyperlink"/>
            <w:i/>
          </w:rPr>
          <w:t>3.3.2</w:t>
        </w:r>
        <w:r w:rsidR="00AD4B80" w:rsidRPr="00AD4B80">
          <w:rPr>
            <w:rFonts w:eastAsiaTheme="minorEastAsia" w:cstheme="minorBidi"/>
            <w:color w:val="auto"/>
            <w:kern w:val="0"/>
            <w:lang w:eastAsia="en-US"/>
          </w:rPr>
          <w:tab/>
        </w:r>
        <w:r w:rsidR="00AD4B80" w:rsidRPr="00AD4B80">
          <w:rPr>
            <w:rStyle w:val="Hyperlink"/>
            <w:i/>
          </w:rPr>
          <w:t>Study Design/Test Protocols</w:t>
        </w:r>
        <w:r w:rsidR="00AD4B80" w:rsidRPr="00AD4B80">
          <w:rPr>
            <w:webHidden/>
          </w:rPr>
          <w:tab/>
        </w:r>
        <w:r w:rsidRPr="00AD4B80">
          <w:rPr>
            <w:webHidden/>
          </w:rPr>
          <w:fldChar w:fldCharType="begin"/>
        </w:r>
        <w:r w:rsidR="00AD4B80" w:rsidRPr="00AD4B80">
          <w:rPr>
            <w:webHidden/>
          </w:rPr>
          <w:instrText xml:space="preserve"> PAGEREF _Toc309835285 \h </w:instrText>
        </w:r>
        <w:r w:rsidRPr="00AD4B80">
          <w:rPr>
            <w:webHidden/>
          </w:rPr>
        </w:r>
        <w:r w:rsidRPr="00AD4B80">
          <w:rPr>
            <w:webHidden/>
          </w:rPr>
          <w:fldChar w:fldCharType="separate"/>
        </w:r>
        <w:r w:rsidR="002F432B">
          <w:rPr>
            <w:webHidden/>
          </w:rPr>
          <w:t>6</w:t>
        </w:r>
        <w:r w:rsidRPr="00AD4B80">
          <w:rPr>
            <w:webHidden/>
          </w:rPr>
          <w:fldChar w:fldCharType="end"/>
        </w:r>
      </w:hyperlink>
    </w:p>
    <w:p w:rsidR="00AD4B80" w:rsidRPr="00AD4B80" w:rsidRDefault="00800FBA" w:rsidP="002F432B">
      <w:pPr>
        <w:pStyle w:val="TOC3"/>
        <w:rPr>
          <w:rFonts w:eastAsiaTheme="minorEastAsia" w:cstheme="minorBidi"/>
          <w:color w:val="auto"/>
          <w:kern w:val="0"/>
          <w:lang w:eastAsia="en-US"/>
        </w:rPr>
      </w:pPr>
      <w:hyperlink w:anchor="_Toc309835286" w:history="1">
        <w:r w:rsidR="00AD4B80" w:rsidRPr="00AD4B80">
          <w:rPr>
            <w:rStyle w:val="Hyperlink"/>
            <w:i/>
          </w:rPr>
          <w:t>3.3.3</w:t>
        </w:r>
        <w:r w:rsidR="00AD4B80" w:rsidRPr="00AD4B80">
          <w:rPr>
            <w:rFonts w:eastAsiaTheme="minorEastAsia" w:cstheme="minorBidi"/>
            <w:color w:val="auto"/>
            <w:kern w:val="0"/>
            <w:lang w:eastAsia="en-US"/>
          </w:rPr>
          <w:tab/>
        </w:r>
        <w:r w:rsidR="00AD4B80" w:rsidRPr="00AD4B80">
          <w:rPr>
            <w:rStyle w:val="Hyperlink"/>
            <w:i/>
          </w:rPr>
          <w:t>Positive Controls</w:t>
        </w:r>
        <w:r w:rsidR="00AD4B80" w:rsidRPr="00AD4B80">
          <w:rPr>
            <w:webHidden/>
          </w:rPr>
          <w:tab/>
        </w:r>
        <w:r w:rsidRPr="00AD4B80">
          <w:rPr>
            <w:webHidden/>
          </w:rPr>
          <w:fldChar w:fldCharType="begin"/>
        </w:r>
        <w:r w:rsidR="00AD4B80" w:rsidRPr="00AD4B80">
          <w:rPr>
            <w:webHidden/>
          </w:rPr>
          <w:instrText xml:space="preserve"> PAGEREF _Toc309835286 \h </w:instrText>
        </w:r>
        <w:r w:rsidRPr="00AD4B80">
          <w:rPr>
            <w:webHidden/>
          </w:rPr>
        </w:r>
        <w:r w:rsidRPr="00AD4B80">
          <w:rPr>
            <w:webHidden/>
          </w:rPr>
          <w:fldChar w:fldCharType="separate"/>
        </w:r>
        <w:r w:rsidR="002F432B">
          <w:rPr>
            <w:webHidden/>
          </w:rPr>
          <w:t>7</w:t>
        </w:r>
        <w:r w:rsidRPr="00AD4B80">
          <w:rPr>
            <w:webHidden/>
          </w:rPr>
          <w:fldChar w:fldCharType="end"/>
        </w:r>
      </w:hyperlink>
    </w:p>
    <w:p w:rsidR="00AD4B80" w:rsidRPr="00AD4B80" w:rsidRDefault="00800FBA" w:rsidP="00AD4B80">
      <w:pPr>
        <w:pStyle w:val="TOC1"/>
        <w:rPr>
          <w:rFonts w:eastAsiaTheme="minorEastAsia" w:cstheme="minorBidi"/>
          <w:color w:val="auto"/>
          <w:kern w:val="0"/>
          <w:lang w:eastAsia="en-US"/>
        </w:rPr>
      </w:pPr>
      <w:hyperlink w:anchor="_Toc309835287" w:history="1">
        <w:r w:rsidR="00AD4B80" w:rsidRPr="00AD4B80">
          <w:rPr>
            <w:rStyle w:val="Hyperlink"/>
            <w:smallCaps/>
          </w:rPr>
          <w:t>4.</w:t>
        </w:r>
        <w:r w:rsidR="00AD4B80" w:rsidRPr="00AD4B80">
          <w:rPr>
            <w:rFonts w:eastAsiaTheme="minorEastAsia" w:cstheme="minorBidi"/>
            <w:color w:val="auto"/>
            <w:kern w:val="0"/>
            <w:lang w:eastAsia="en-US"/>
          </w:rPr>
          <w:tab/>
        </w:r>
        <w:r w:rsidR="00AD4B80" w:rsidRPr="00AD4B80">
          <w:rPr>
            <w:rStyle w:val="Hyperlink"/>
            <w:smallCaps/>
          </w:rPr>
          <w:t xml:space="preserve">Recommendations For </w:t>
        </w:r>
        <w:r w:rsidR="00AD4B80" w:rsidRPr="00AD4B80">
          <w:rPr>
            <w:rStyle w:val="Hyperlink"/>
            <w:i/>
            <w:smallCaps/>
          </w:rPr>
          <w:t xml:space="preserve">In Vivo </w:t>
        </w:r>
        <w:r w:rsidR="00AD4B80" w:rsidRPr="00AD4B80">
          <w:rPr>
            <w:rStyle w:val="Hyperlink"/>
            <w:smallCaps/>
          </w:rPr>
          <w:t>Tests</w:t>
        </w:r>
        <w:r w:rsidR="00AD4B80" w:rsidRPr="00AD4B80">
          <w:rPr>
            <w:webHidden/>
          </w:rPr>
          <w:tab/>
        </w:r>
        <w:r w:rsidRPr="00AD4B80">
          <w:rPr>
            <w:webHidden/>
          </w:rPr>
          <w:fldChar w:fldCharType="begin"/>
        </w:r>
        <w:r w:rsidR="00AD4B80" w:rsidRPr="00AD4B80">
          <w:rPr>
            <w:webHidden/>
          </w:rPr>
          <w:instrText xml:space="preserve"> PAGEREF _Toc309835287 \h </w:instrText>
        </w:r>
        <w:r w:rsidRPr="00AD4B80">
          <w:rPr>
            <w:webHidden/>
          </w:rPr>
        </w:r>
        <w:r w:rsidRPr="00AD4B80">
          <w:rPr>
            <w:webHidden/>
          </w:rPr>
          <w:fldChar w:fldCharType="separate"/>
        </w:r>
        <w:r w:rsidR="002F432B">
          <w:rPr>
            <w:webHidden/>
          </w:rPr>
          <w:t>7</w:t>
        </w:r>
        <w:r w:rsidRPr="00AD4B80">
          <w:rPr>
            <w:webHidden/>
          </w:rPr>
          <w:fldChar w:fldCharType="end"/>
        </w:r>
      </w:hyperlink>
    </w:p>
    <w:p w:rsidR="00AD4B80" w:rsidRPr="00AD4B80" w:rsidRDefault="00800FBA" w:rsidP="00AD4B80">
      <w:pPr>
        <w:pStyle w:val="TOC2"/>
        <w:rPr>
          <w:rFonts w:eastAsiaTheme="minorEastAsia" w:cstheme="minorBidi"/>
          <w:color w:val="auto"/>
          <w:kern w:val="0"/>
          <w:lang w:eastAsia="en-US"/>
        </w:rPr>
      </w:pPr>
      <w:hyperlink w:anchor="_Toc309835288" w:history="1">
        <w:r w:rsidR="00AD4B80" w:rsidRPr="00AD4B80">
          <w:rPr>
            <w:rStyle w:val="Hyperlink"/>
          </w:rPr>
          <w:t>4.1</w:t>
        </w:r>
        <w:r w:rsidR="00AD4B80" w:rsidRPr="00AD4B80">
          <w:rPr>
            <w:rFonts w:eastAsiaTheme="minorEastAsia" w:cstheme="minorBidi"/>
            <w:color w:val="auto"/>
            <w:kern w:val="0"/>
            <w:lang w:eastAsia="en-US"/>
          </w:rPr>
          <w:tab/>
        </w:r>
        <w:r w:rsidR="00AD4B80" w:rsidRPr="00AD4B80">
          <w:rPr>
            <w:rStyle w:val="Hyperlink"/>
          </w:rPr>
          <w:t xml:space="preserve">Tests for the Detection of Chromosome Damage </w:t>
        </w:r>
        <w:r w:rsidR="00AD4B80" w:rsidRPr="00292104">
          <w:rPr>
            <w:rStyle w:val="Hyperlink"/>
            <w:i/>
          </w:rPr>
          <w:t>In Vivo</w:t>
        </w:r>
        <w:r w:rsidR="00AD4B80" w:rsidRPr="00AD4B80">
          <w:rPr>
            <w:webHidden/>
          </w:rPr>
          <w:tab/>
        </w:r>
        <w:r w:rsidRPr="00AD4B80">
          <w:rPr>
            <w:webHidden/>
          </w:rPr>
          <w:fldChar w:fldCharType="begin"/>
        </w:r>
        <w:r w:rsidR="00AD4B80" w:rsidRPr="00AD4B80">
          <w:rPr>
            <w:webHidden/>
          </w:rPr>
          <w:instrText xml:space="preserve"> PAGEREF _Toc309835288 \h </w:instrText>
        </w:r>
        <w:r w:rsidRPr="00AD4B80">
          <w:rPr>
            <w:webHidden/>
          </w:rPr>
        </w:r>
        <w:r w:rsidRPr="00AD4B80">
          <w:rPr>
            <w:webHidden/>
          </w:rPr>
          <w:fldChar w:fldCharType="separate"/>
        </w:r>
        <w:r w:rsidR="002F432B">
          <w:rPr>
            <w:webHidden/>
          </w:rPr>
          <w:t>7</w:t>
        </w:r>
        <w:r w:rsidRPr="00AD4B80">
          <w:rPr>
            <w:webHidden/>
          </w:rPr>
          <w:fldChar w:fldCharType="end"/>
        </w:r>
      </w:hyperlink>
    </w:p>
    <w:p w:rsidR="00AD4B80" w:rsidRPr="00AD4B80" w:rsidRDefault="00800FBA" w:rsidP="00AD4B80">
      <w:pPr>
        <w:pStyle w:val="TOC2"/>
        <w:rPr>
          <w:rFonts w:eastAsiaTheme="minorEastAsia" w:cstheme="minorBidi"/>
          <w:color w:val="auto"/>
          <w:kern w:val="0"/>
          <w:lang w:eastAsia="en-US"/>
        </w:rPr>
      </w:pPr>
      <w:hyperlink w:anchor="_Toc309835289" w:history="1">
        <w:r w:rsidR="00AD4B80" w:rsidRPr="00AD4B80">
          <w:rPr>
            <w:rStyle w:val="Hyperlink"/>
          </w:rPr>
          <w:t>4.2</w:t>
        </w:r>
        <w:r w:rsidR="00AD4B80" w:rsidRPr="00AD4B80">
          <w:rPr>
            <w:rFonts w:eastAsiaTheme="minorEastAsia" w:cstheme="minorBidi"/>
            <w:color w:val="auto"/>
            <w:kern w:val="0"/>
            <w:lang w:eastAsia="en-US"/>
          </w:rPr>
          <w:tab/>
        </w:r>
        <w:r w:rsidR="00AD4B80" w:rsidRPr="00AD4B80">
          <w:rPr>
            <w:rStyle w:val="Hyperlink"/>
          </w:rPr>
          <w:t xml:space="preserve">Other </w:t>
        </w:r>
        <w:r w:rsidR="00AD4B80" w:rsidRPr="002F4D15">
          <w:rPr>
            <w:rStyle w:val="Hyperlink"/>
            <w:i/>
          </w:rPr>
          <w:t>In Vivo</w:t>
        </w:r>
        <w:r w:rsidR="00AD4B80" w:rsidRPr="00AD4B80">
          <w:rPr>
            <w:rStyle w:val="Hyperlink"/>
          </w:rPr>
          <w:t xml:space="preserve"> Genotoxicity Tests</w:t>
        </w:r>
        <w:r w:rsidR="00AD4B80" w:rsidRPr="00AD4B80">
          <w:rPr>
            <w:webHidden/>
          </w:rPr>
          <w:tab/>
        </w:r>
        <w:r w:rsidRPr="00AD4B80">
          <w:rPr>
            <w:webHidden/>
          </w:rPr>
          <w:fldChar w:fldCharType="begin"/>
        </w:r>
        <w:r w:rsidR="00AD4B80" w:rsidRPr="00AD4B80">
          <w:rPr>
            <w:webHidden/>
          </w:rPr>
          <w:instrText xml:space="preserve"> PAGEREF _Toc309835289 \h </w:instrText>
        </w:r>
        <w:r w:rsidRPr="00AD4B80">
          <w:rPr>
            <w:webHidden/>
          </w:rPr>
        </w:r>
        <w:r w:rsidRPr="00AD4B80">
          <w:rPr>
            <w:webHidden/>
          </w:rPr>
          <w:fldChar w:fldCharType="separate"/>
        </w:r>
        <w:r w:rsidR="002F432B">
          <w:rPr>
            <w:webHidden/>
          </w:rPr>
          <w:t>7</w:t>
        </w:r>
        <w:r w:rsidRPr="00AD4B80">
          <w:rPr>
            <w:webHidden/>
          </w:rPr>
          <w:fldChar w:fldCharType="end"/>
        </w:r>
      </w:hyperlink>
    </w:p>
    <w:p w:rsidR="00AD4B80" w:rsidRPr="00AD4B80" w:rsidRDefault="00800FBA" w:rsidP="00AD4B80">
      <w:pPr>
        <w:pStyle w:val="TOC2"/>
        <w:rPr>
          <w:rFonts w:eastAsiaTheme="minorEastAsia" w:cstheme="minorBidi"/>
          <w:color w:val="auto"/>
          <w:kern w:val="0"/>
          <w:lang w:eastAsia="en-US"/>
        </w:rPr>
      </w:pPr>
      <w:hyperlink w:anchor="_Toc309835290" w:history="1">
        <w:r w:rsidR="00AD4B80" w:rsidRPr="00AD4B80">
          <w:rPr>
            <w:rStyle w:val="Hyperlink"/>
          </w:rPr>
          <w:t>4.3</w:t>
        </w:r>
        <w:r w:rsidR="00AD4B80" w:rsidRPr="00AD4B80">
          <w:rPr>
            <w:rFonts w:eastAsiaTheme="minorEastAsia" w:cstheme="minorBidi"/>
            <w:color w:val="auto"/>
            <w:kern w:val="0"/>
            <w:lang w:eastAsia="en-US"/>
          </w:rPr>
          <w:tab/>
        </w:r>
        <w:r w:rsidR="00AD4B80" w:rsidRPr="00AD4B80">
          <w:rPr>
            <w:rStyle w:val="Hyperlink"/>
          </w:rPr>
          <w:t xml:space="preserve">Dose Selection for </w:t>
        </w:r>
        <w:r w:rsidR="00AD4B80" w:rsidRPr="002F4D15">
          <w:rPr>
            <w:rStyle w:val="Hyperlink"/>
            <w:i/>
          </w:rPr>
          <w:t>In Vivo</w:t>
        </w:r>
        <w:r w:rsidR="00AD4B80" w:rsidRPr="00AD4B80">
          <w:rPr>
            <w:rStyle w:val="Hyperlink"/>
          </w:rPr>
          <w:t xml:space="preserve"> Assays</w:t>
        </w:r>
        <w:r w:rsidR="00AD4B80" w:rsidRPr="00AD4B80">
          <w:rPr>
            <w:webHidden/>
          </w:rPr>
          <w:tab/>
        </w:r>
        <w:r w:rsidRPr="00AD4B80">
          <w:rPr>
            <w:webHidden/>
          </w:rPr>
          <w:fldChar w:fldCharType="begin"/>
        </w:r>
        <w:r w:rsidR="00AD4B80" w:rsidRPr="00AD4B80">
          <w:rPr>
            <w:webHidden/>
          </w:rPr>
          <w:instrText xml:space="preserve"> PAGEREF _Toc309835290 \h </w:instrText>
        </w:r>
        <w:r w:rsidRPr="00AD4B80">
          <w:rPr>
            <w:webHidden/>
          </w:rPr>
        </w:r>
        <w:r w:rsidRPr="00AD4B80">
          <w:rPr>
            <w:webHidden/>
          </w:rPr>
          <w:fldChar w:fldCharType="separate"/>
        </w:r>
        <w:r w:rsidR="002F432B">
          <w:rPr>
            <w:webHidden/>
          </w:rPr>
          <w:t>8</w:t>
        </w:r>
        <w:r w:rsidRPr="00AD4B80">
          <w:rPr>
            <w:webHidden/>
          </w:rPr>
          <w:fldChar w:fldCharType="end"/>
        </w:r>
      </w:hyperlink>
    </w:p>
    <w:p w:rsidR="00AD4B80" w:rsidRPr="00AD4B80" w:rsidRDefault="00800FBA" w:rsidP="002F432B">
      <w:pPr>
        <w:pStyle w:val="TOC3"/>
        <w:rPr>
          <w:rFonts w:eastAsiaTheme="minorEastAsia" w:cstheme="minorBidi"/>
          <w:color w:val="auto"/>
          <w:kern w:val="0"/>
          <w:lang w:eastAsia="en-US"/>
        </w:rPr>
      </w:pPr>
      <w:hyperlink w:anchor="_Toc309835291" w:history="1">
        <w:r w:rsidR="00AD4B80" w:rsidRPr="00AD4B80">
          <w:rPr>
            <w:rStyle w:val="Hyperlink"/>
            <w:i/>
          </w:rPr>
          <w:t>4.3.1</w:t>
        </w:r>
        <w:r w:rsidR="00AD4B80" w:rsidRPr="00AD4B80">
          <w:rPr>
            <w:rFonts w:eastAsiaTheme="minorEastAsia" w:cstheme="minorBidi"/>
            <w:color w:val="auto"/>
            <w:kern w:val="0"/>
            <w:lang w:eastAsia="en-US"/>
          </w:rPr>
          <w:tab/>
        </w:r>
        <w:r w:rsidR="00AD4B80" w:rsidRPr="00AD4B80">
          <w:rPr>
            <w:rStyle w:val="Hyperlink"/>
            <w:i/>
          </w:rPr>
          <w:t>Short-Term Studies</w:t>
        </w:r>
        <w:r w:rsidR="00AD4B80" w:rsidRPr="00AD4B80">
          <w:rPr>
            <w:webHidden/>
          </w:rPr>
          <w:tab/>
        </w:r>
        <w:r w:rsidRPr="00AD4B80">
          <w:rPr>
            <w:webHidden/>
          </w:rPr>
          <w:fldChar w:fldCharType="begin"/>
        </w:r>
        <w:r w:rsidR="00AD4B80" w:rsidRPr="00AD4B80">
          <w:rPr>
            <w:webHidden/>
          </w:rPr>
          <w:instrText xml:space="preserve"> PAGEREF _Toc309835291 \h </w:instrText>
        </w:r>
        <w:r w:rsidRPr="00AD4B80">
          <w:rPr>
            <w:webHidden/>
          </w:rPr>
        </w:r>
        <w:r w:rsidRPr="00AD4B80">
          <w:rPr>
            <w:webHidden/>
          </w:rPr>
          <w:fldChar w:fldCharType="separate"/>
        </w:r>
        <w:r w:rsidR="002F432B">
          <w:rPr>
            <w:webHidden/>
          </w:rPr>
          <w:t>8</w:t>
        </w:r>
        <w:r w:rsidRPr="00AD4B80">
          <w:rPr>
            <w:webHidden/>
          </w:rPr>
          <w:fldChar w:fldCharType="end"/>
        </w:r>
      </w:hyperlink>
    </w:p>
    <w:p w:rsidR="00AD4B80" w:rsidRPr="00AD4B80" w:rsidRDefault="00800FBA" w:rsidP="002F432B">
      <w:pPr>
        <w:pStyle w:val="TOC3"/>
        <w:rPr>
          <w:rFonts w:eastAsiaTheme="minorEastAsia" w:cstheme="minorBidi"/>
          <w:color w:val="auto"/>
          <w:kern w:val="0"/>
          <w:lang w:eastAsia="en-US"/>
        </w:rPr>
      </w:pPr>
      <w:hyperlink w:anchor="_Toc309835292" w:history="1">
        <w:r w:rsidR="00AD4B80" w:rsidRPr="00AD4B80">
          <w:rPr>
            <w:rStyle w:val="Hyperlink"/>
            <w:i/>
          </w:rPr>
          <w:t>4.3.2</w:t>
        </w:r>
        <w:r w:rsidR="00AD4B80" w:rsidRPr="00AD4B80">
          <w:rPr>
            <w:rFonts w:eastAsiaTheme="minorEastAsia" w:cstheme="minorBidi"/>
            <w:color w:val="auto"/>
            <w:kern w:val="0"/>
            <w:lang w:eastAsia="en-US"/>
          </w:rPr>
          <w:tab/>
        </w:r>
        <w:r w:rsidR="00AD4B80" w:rsidRPr="00AD4B80">
          <w:rPr>
            <w:rStyle w:val="Hyperlink"/>
            <w:i/>
          </w:rPr>
          <w:t>Multiple Administration Studies</w:t>
        </w:r>
        <w:r w:rsidR="00AD4B80" w:rsidRPr="00AD4B80">
          <w:rPr>
            <w:webHidden/>
          </w:rPr>
          <w:tab/>
        </w:r>
        <w:r w:rsidRPr="00AD4B80">
          <w:rPr>
            <w:webHidden/>
          </w:rPr>
          <w:fldChar w:fldCharType="begin"/>
        </w:r>
        <w:r w:rsidR="00AD4B80" w:rsidRPr="00AD4B80">
          <w:rPr>
            <w:webHidden/>
          </w:rPr>
          <w:instrText xml:space="preserve"> PAGEREF _Toc309835292 \h </w:instrText>
        </w:r>
        <w:r w:rsidRPr="00AD4B80">
          <w:rPr>
            <w:webHidden/>
          </w:rPr>
        </w:r>
        <w:r w:rsidRPr="00AD4B80">
          <w:rPr>
            <w:webHidden/>
          </w:rPr>
          <w:fldChar w:fldCharType="separate"/>
        </w:r>
        <w:r w:rsidR="002F432B">
          <w:rPr>
            <w:webHidden/>
          </w:rPr>
          <w:t>8</w:t>
        </w:r>
        <w:r w:rsidRPr="00AD4B80">
          <w:rPr>
            <w:webHidden/>
          </w:rPr>
          <w:fldChar w:fldCharType="end"/>
        </w:r>
      </w:hyperlink>
    </w:p>
    <w:p w:rsidR="00AD4B80" w:rsidRPr="00AD4B80" w:rsidRDefault="00800FBA" w:rsidP="002F432B">
      <w:pPr>
        <w:pStyle w:val="TOC3"/>
        <w:rPr>
          <w:rFonts w:eastAsiaTheme="minorEastAsia" w:cstheme="minorBidi"/>
          <w:color w:val="auto"/>
          <w:kern w:val="0"/>
          <w:lang w:eastAsia="en-US"/>
        </w:rPr>
      </w:pPr>
      <w:hyperlink w:anchor="_Toc309835293" w:history="1">
        <w:r w:rsidR="00AD4B80" w:rsidRPr="00AD4B80">
          <w:rPr>
            <w:rStyle w:val="Hyperlink"/>
            <w:i/>
          </w:rPr>
          <w:t>4.3.3</w:t>
        </w:r>
        <w:r w:rsidR="00AD4B80" w:rsidRPr="00AD4B80">
          <w:rPr>
            <w:rFonts w:eastAsiaTheme="minorEastAsia" w:cstheme="minorBidi"/>
            <w:color w:val="auto"/>
            <w:kern w:val="0"/>
            <w:lang w:eastAsia="en-US"/>
          </w:rPr>
          <w:tab/>
        </w:r>
        <w:r w:rsidR="00AD4B80" w:rsidRPr="00AD4B80">
          <w:rPr>
            <w:rStyle w:val="Hyperlink"/>
            <w:i/>
          </w:rPr>
          <w:t>Testing Compounds that are Toxic for Blood or Bone Marrow</w:t>
        </w:r>
        <w:r w:rsidR="00AD4B80" w:rsidRPr="00AD4B80">
          <w:rPr>
            <w:webHidden/>
          </w:rPr>
          <w:tab/>
        </w:r>
        <w:r w:rsidRPr="00AD4B80">
          <w:rPr>
            <w:webHidden/>
          </w:rPr>
          <w:fldChar w:fldCharType="begin"/>
        </w:r>
        <w:r w:rsidR="00AD4B80" w:rsidRPr="00AD4B80">
          <w:rPr>
            <w:webHidden/>
          </w:rPr>
          <w:instrText xml:space="preserve"> PAGEREF _Toc309835293 \h </w:instrText>
        </w:r>
        <w:r w:rsidRPr="00AD4B80">
          <w:rPr>
            <w:webHidden/>
          </w:rPr>
        </w:r>
        <w:r w:rsidRPr="00AD4B80">
          <w:rPr>
            <w:webHidden/>
          </w:rPr>
          <w:fldChar w:fldCharType="separate"/>
        </w:r>
        <w:r w:rsidR="002F432B">
          <w:rPr>
            <w:webHidden/>
          </w:rPr>
          <w:t>9</w:t>
        </w:r>
        <w:r w:rsidRPr="00AD4B80">
          <w:rPr>
            <w:webHidden/>
          </w:rPr>
          <w:fldChar w:fldCharType="end"/>
        </w:r>
      </w:hyperlink>
    </w:p>
    <w:p w:rsidR="00AD4B80" w:rsidRPr="00AD4B80" w:rsidRDefault="00800FBA" w:rsidP="00AD4B80">
      <w:pPr>
        <w:pStyle w:val="TOC2"/>
        <w:rPr>
          <w:rFonts w:eastAsiaTheme="minorEastAsia" w:cstheme="minorBidi"/>
          <w:color w:val="auto"/>
          <w:kern w:val="0"/>
          <w:lang w:eastAsia="en-US"/>
        </w:rPr>
      </w:pPr>
      <w:hyperlink w:anchor="_Toc309835294" w:history="1">
        <w:r w:rsidR="00AD4B80" w:rsidRPr="00AD4B80">
          <w:rPr>
            <w:rStyle w:val="Hyperlink"/>
          </w:rPr>
          <w:t>4.4</w:t>
        </w:r>
        <w:r w:rsidR="00AD4B80" w:rsidRPr="00AD4B80">
          <w:rPr>
            <w:rFonts w:eastAsiaTheme="minorEastAsia" w:cstheme="minorBidi"/>
            <w:color w:val="auto"/>
            <w:kern w:val="0"/>
            <w:lang w:eastAsia="en-US"/>
          </w:rPr>
          <w:tab/>
        </w:r>
        <w:r w:rsidR="00AD4B80" w:rsidRPr="00AD4B80">
          <w:rPr>
            <w:rStyle w:val="Hyperlink"/>
          </w:rPr>
          <w:t xml:space="preserve">Demonstration of Target Tissue Exposure for Negative </w:t>
        </w:r>
        <w:r w:rsidR="00AD4B80" w:rsidRPr="00AD4B80">
          <w:rPr>
            <w:rStyle w:val="Hyperlink"/>
            <w:i/>
          </w:rPr>
          <w:t>In Vivo</w:t>
        </w:r>
        <w:r w:rsidR="00AD4B80" w:rsidRPr="00AD4B80">
          <w:rPr>
            <w:rStyle w:val="Hyperlink"/>
          </w:rPr>
          <w:t xml:space="preserve"> Test Results</w:t>
        </w:r>
        <w:r w:rsidR="00AD4B80" w:rsidRPr="00AD4B80">
          <w:rPr>
            <w:webHidden/>
          </w:rPr>
          <w:tab/>
        </w:r>
        <w:r w:rsidRPr="00AD4B80">
          <w:rPr>
            <w:webHidden/>
          </w:rPr>
          <w:fldChar w:fldCharType="begin"/>
        </w:r>
        <w:r w:rsidR="00AD4B80" w:rsidRPr="00AD4B80">
          <w:rPr>
            <w:webHidden/>
          </w:rPr>
          <w:instrText xml:space="preserve"> PAGEREF _Toc309835294 \h </w:instrText>
        </w:r>
        <w:r w:rsidRPr="00AD4B80">
          <w:rPr>
            <w:webHidden/>
          </w:rPr>
        </w:r>
        <w:r w:rsidRPr="00AD4B80">
          <w:rPr>
            <w:webHidden/>
          </w:rPr>
          <w:fldChar w:fldCharType="separate"/>
        </w:r>
        <w:r w:rsidR="002F432B">
          <w:rPr>
            <w:webHidden/>
          </w:rPr>
          <w:t>9</w:t>
        </w:r>
        <w:r w:rsidRPr="00AD4B80">
          <w:rPr>
            <w:webHidden/>
          </w:rPr>
          <w:fldChar w:fldCharType="end"/>
        </w:r>
      </w:hyperlink>
    </w:p>
    <w:p w:rsidR="00AD4B80" w:rsidRPr="00AD4B80" w:rsidRDefault="00800FBA" w:rsidP="002F432B">
      <w:pPr>
        <w:pStyle w:val="TOC3"/>
        <w:rPr>
          <w:rFonts w:eastAsiaTheme="minorEastAsia" w:cstheme="minorBidi"/>
          <w:color w:val="auto"/>
          <w:kern w:val="0"/>
          <w:lang w:eastAsia="en-US"/>
        </w:rPr>
      </w:pPr>
      <w:hyperlink w:anchor="_Toc309835295" w:history="1">
        <w:r w:rsidR="00AD4B80" w:rsidRPr="00AD4B80">
          <w:rPr>
            <w:rStyle w:val="Hyperlink"/>
            <w:i/>
          </w:rPr>
          <w:t>4.4.1</w:t>
        </w:r>
        <w:r w:rsidR="00AD4B80" w:rsidRPr="00AD4B80">
          <w:rPr>
            <w:rFonts w:eastAsiaTheme="minorEastAsia" w:cstheme="minorBidi"/>
            <w:color w:val="auto"/>
            <w:kern w:val="0"/>
            <w:lang w:eastAsia="en-US"/>
          </w:rPr>
          <w:tab/>
        </w:r>
        <w:r w:rsidR="00AD4B80" w:rsidRPr="00AD4B80">
          <w:rPr>
            <w:rStyle w:val="Hyperlink"/>
            <w:i/>
          </w:rPr>
          <w:t>When an In Vitro Genotoxicity Test is Positive (or not done)</w:t>
        </w:r>
        <w:r w:rsidR="00AD4B80" w:rsidRPr="00AD4B80">
          <w:rPr>
            <w:webHidden/>
          </w:rPr>
          <w:tab/>
        </w:r>
        <w:r w:rsidRPr="00AD4B80">
          <w:rPr>
            <w:webHidden/>
          </w:rPr>
          <w:fldChar w:fldCharType="begin"/>
        </w:r>
        <w:r w:rsidR="00AD4B80" w:rsidRPr="00AD4B80">
          <w:rPr>
            <w:webHidden/>
          </w:rPr>
          <w:instrText xml:space="preserve"> PAGEREF _Toc309835295 \h </w:instrText>
        </w:r>
        <w:r w:rsidRPr="00AD4B80">
          <w:rPr>
            <w:webHidden/>
          </w:rPr>
        </w:r>
        <w:r w:rsidRPr="00AD4B80">
          <w:rPr>
            <w:webHidden/>
          </w:rPr>
          <w:fldChar w:fldCharType="separate"/>
        </w:r>
        <w:r w:rsidR="002F432B">
          <w:rPr>
            <w:webHidden/>
          </w:rPr>
          <w:t>9</w:t>
        </w:r>
        <w:r w:rsidRPr="00AD4B80">
          <w:rPr>
            <w:webHidden/>
          </w:rPr>
          <w:fldChar w:fldCharType="end"/>
        </w:r>
      </w:hyperlink>
    </w:p>
    <w:p w:rsidR="00AD4B80" w:rsidRPr="00AD4B80" w:rsidRDefault="00800FBA" w:rsidP="002F432B">
      <w:pPr>
        <w:pStyle w:val="TOC3"/>
        <w:rPr>
          <w:rFonts w:eastAsiaTheme="minorEastAsia" w:cstheme="minorBidi"/>
          <w:color w:val="auto"/>
          <w:kern w:val="0"/>
          <w:lang w:eastAsia="en-US"/>
        </w:rPr>
      </w:pPr>
      <w:hyperlink w:anchor="_Toc309835296" w:history="1">
        <w:r w:rsidR="00AD4B80" w:rsidRPr="00AD4B80">
          <w:rPr>
            <w:rStyle w:val="Hyperlink"/>
            <w:i/>
          </w:rPr>
          <w:t>4.4.2</w:t>
        </w:r>
        <w:r w:rsidR="00AD4B80" w:rsidRPr="00AD4B80">
          <w:rPr>
            <w:rFonts w:eastAsiaTheme="minorEastAsia" w:cstheme="minorBidi"/>
            <w:color w:val="auto"/>
            <w:kern w:val="0"/>
            <w:lang w:eastAsia="en-US"/>
          </w:rPr>
          <w:tab/>
        </w:r>
        <w:r w:rsidR="00AD4B80" w:rsidRPr="00AD4B80">
          <w:rPr>
            <w:rStyle w:val="Hyperlink"/>
            <w:i/>
          </w:rPr>
          <w:t>When In Vitro Genotoxicity Tests are Negative</w:t>
        </w:r>
        <w:r w:rsidR="00AD4B80" w:rsidRPr="00AD4B80">
          <w:rPr>
            <w:webHidden/>
          </w:rPr>
          <w:tab/>
        </w:r>
        <w:r w:rsidRPr="00AD4B80">
          <w:rPr>
            <w:webHidden/>
          </w:rPr>
          <w:fldChar w:fldCharType="begin"/>
        </w:r>
        <w:r w:rsidR="00AD4B80" w:rsidRPr="00AD4B80">
          <w:rPr>
            <w:webHidden/>
          </w:rPr>
          <w:instrText xml:space="preserve"> PAGEREF _Toc309835296 \h </w:instrText>
        </w:r>
        <w:r w:rsidRPr="00AD4B80">
          <w:rPr>
            <w:webHidden/>
          </w:rPr>
        </w:r>
        <w:r w:rsidRPr="00AD4B80">
          <w:rPr>
            <w:webHidden/>
          </w:rPr>
          <w:fldChar w:fldCharType="separate"/>
        </w:r>
        <w:r w:rsidR="002F432B">
          <w:rPr>
            <w:webHidden/>
          </w:rPr>
          <w:t>10</w:t>
        </w:r>
        <w:r w:rsidRPr="00AD4B80">
          <w:rPr>
            <w:webHidden/>
          </w:rPr>
          <w:fldChar w:fldCharType="end"/>
        </w:r>
      </w:hyperlink>
    </w:p>
    <w:p w:rsidR="00AD4B80" w:rsidRPr="00AD4B80" w:rsidRDefault="00800FBA" w:rsidP="00AD4B80">
      <w:pPr>
        <w:pStyle w:val="TOC2"/>
        <w:rPr>
          <w:rFonts w:eastAsiaTheme="minorEastAsia" w:cstheme="minorBidi"/>
          <w:color w:val="auto"/>
          <w:kern w:val="0"/>
          <w:lang w:eastAsia="en-US"/>
        </w:rPr>
      </w:pPr>
      <w:hyperlink w:anchor="_Toc309835297" w:history="1">
        <w:r w:rsidR="00AD4B80" w:rsidRPr="00AD4B80">
          <w:rPr>
            <w:rStyle w:val="Hyperlink"/>
          </w:rPr>
          <w:t>4.5</w:t>
        </w:r>
        <w:r w:rsidR="00AD4B80" w:rsidRPr="00AD4B80">
          <w:rPr>
            <w:rFonts w:eastAsiaTheme="minorEastAsia" w:cstheme="minorBidi"/>
            <w:color w:val="auto"/>
            <w:kern w:val="0"/>
            <w:lang w:eastAsia="en-US"/>
          </w:rPr>
          <w:tab/>
        </w:r>
        <w:r w:rsidR="00AD4B80" w:rsidRPr="00AD4B80">
          <w:rPr>
            <w:rStyle w:val="Hyperlink"/>
          </w:rPr>
          <w:t xml:space="preserve">Sampling Times for </w:t>
        </w:r>
        <w:r w:rsidR="00AD4B80" w:rsidRPr="00AD4B80">
          <w:rPr>
            <w:rStyle w:val="Hyperlink"/>
            <w:i/>
          </w:rPr>
          <w:t>In Vivo</w:t>
        </w:r>
        <w:r w:rsidR="00AD4B80" w:rsidRPr="00AD4B80">
          <w:rPr>
            <w:rStyle w:val="Hyperlink"/>
          </w:rPr>
          <w:t xml:space="preserve"> Assays</w:t>
        </w:r>
        <w:r w:rsidR="00AD4B80" w:rsidRPr="00AD4B80">
          <w:rPr>
            <w:webHidden/>
          </w:rPr>
          <w:tab/>
        </w:r>
        <w:r w:rsidRPr="00AD4B80">
          <w:rPr>
            <w:webHidden/>
          </w:rPr>
          <w:fldChar w:fldCharType="begin"/>
        </w:r>
        <w:r w:rsidR="00AD4B80" w:rsidRPr="00AD4B80">
          <w:rPr>
            <w:webHidden/>
          </w:rPr>
          <w:instrText xml:space="preserve"> PAGEREF _Toc309835297 \h </w:instrText>
        </w:r>
        <w:r w:rsidRPr="00AD4B80">
          <w:rPr>
            <w:webHidden/>
          </w:rPr>
        </w:r>
        <w:r w:rsidRPr="00AD4B80">
          <w:rPr>
            <w:webHidden/>
          </w:rPr>
          <w:fldChar w:fldCharType="separate"/>
        </w:r>
        <w:r w:rsidR="002F432B">
          <w:rPr>
            <w:webHidden/>
          </w:rPr>
          <w:t>10</w:t>
        </w:r>
        <w:r w:rsidRPr="00AD4B80">
          <w:rPr>
            <w:webHidden/>
          </w:rPr>
          <w:fldChar w:fldCharType="end"/>
        </w:r>
      </w:hyperlink>
    </w:p>
    <w:p w:rsidR="00AD4B80" w:rsidRPr="00AD4B80" w:rsidRDefault="00800FBA" w:rsidP="00AD4B80">
      <w:pPr>
        <w:pStyle w:val="TOC2"/>
        <w:rPr>
          <w:rFonts w:eastAsiaTheme="minorEastAsia" w:cstheme="minorBidi"/>
          <w:color w:val="auto"/>
          <w:kern w:val="0"/>
          <w:lang w:eastAsia="en-US"/>
        </w:rPr>
      </w:pPr>
      <w:hyperlink w:anchor="_Toc309835298" w:history="1">
        <w:r w:rsidR="00AD4B80" w:rsidRPr="00AD4B80">
          <w:rPr>
            <w:rStyle w:val="Hyperlink"/>
          </w:rPr>
          <w:t>4.6</w:t>
        </w:r>
        <w:r w:rsidR="00AD4B80" w:rsidRPr="00AD4B80">
          <w:rPr>
            <w:rFonts w:eastAsiaTheme="minorEastAsia" w:cstheme="minorBidi"/>
            <w:color w:val="auto"/>
            <w:kern w:val="0"/>
            <w:lang w:eastAsia="en-US"/>
          </w:rPr>
          <w:tab/>
        </w:r>
        <w:r w:rsidR="00AD4B80" w:rsidRPr="00AD4B80">
          <w:rPr>
            <w:rStyle w:val="Hyperlink"/>
          </w:rPr>
          <w:t>Number of Animals Analyzed</w:t>
        </w:r>
        <w:r w:rsidR="00AD4B80" w:rsidRPr="00AD4B80">
          <w:rPr>
            <w:webHidden/>
          </w:rPr>
          <w:tab/>
        </w:r>
        <w:r w:rsidRPr="00AD4B80">
          <w:rPr>
            <w:webHidden/>
          </w:rPr>
          <w:fldChar w:fldCharType="begin"/>
        </w:r>
        <w:r w:rsidR="00AD4B80" w:rsidRPr="00AD4B80">
          <w:rPr>
            <w:webHidden/>
          </w:rPr>
          <w:instrText xml:space="preserve"> PAGEREF _Toc309835298 \h </w:instrText>
        </w:r>
        <w:r w:rsidRPr="00AD4B80">
          <w:rPr>
            <w:webHidden/>
          </w:rPr>
        </w:r>
        <w:r w:rsidRPr="00AD4B80">
          <w:rPr>
            <w:webHidden/>
          </w:rPr>
          <w:fldChar w:fldCharType="separate"/>
        </w:r>
        <w:r w:rsidR="002F432B">
          <w:rPr>
            <w:webHidden/>
          </w:rPr>
          <w:t>10</w:t>
        </w:r>
        <w:r w:rsidRPr="00AD4B80">
          <w:rPr>
            <w:webHidden/>
          </w:rPr>
          <w:fldChar w:fldCharType="end"/>
        </w:r>
      </w:hyperlink>
    </w:p>
    <w:p w:rsidR="00AD4B80" w:rsidRPr="00AD4B80" w:rsidRDefault="00800FBA" w:rsidP="00AD4B80">
      <w:pPr>
        <w:pStyle w:val="TOC2"/>
        <w:rPr>
          <w:rFonts w:eastAsiaTheme="minorEastAsia" w:cstheme="minorBidi"/>
          <w:color w:val="auto"/>
          <w:kern w:val="0"/>
          <w:lang w:eastAsia="en-US"/>
        </w:rPr>
      </w:pPr>
      <w:hyperlink w:anchor="_Toc309835299" w:history="1">
        <w:r w:rsidR="00AD4B80" w:rsidRPr="00AD4B80">
          <w:rPr>
            <w:rStyle w:val="Hyperlink"/>
          </w:rPr>
          <w:t>4.7</w:t>
        </w:r>
        <w:r w:rsidR="00AD4B80" w:rsidRPr="00AD4B80">
          <w:rPr>
            <w:rFonts w:eastAsiaTheme="minorEastAsia" w:cstheme="minorBidi"/>
            <w:color w:val="auto"/>
            <w:kern w:val="0"/>
            <w:lang w:eastAsia="en-US"/>
          </w:rPr>
          <w:tab/>
        </w:r>
        <w:r w:rsidR="00AD4B80" w:rsidRPr="00AD4B80">
          <w:rPr>
            <w:rStyle w:val="Hyperlink"/>
          </w:rPr>
          <w:t xml:space="preserve">Use of Male/Female Rodents in </w:t>
        </w:r>
        <w:r w:rsidR="00AD4B80" w:rsidRPr="00AD4B80">
          <w:rPr>
            <w:rStyle w:val="Hyperlink"/>
            <w:i/>
          </w:rPr>
          <w:t>In Vivo</w:t>
        </w:r>
        <w:r w:rsidR="00AD4B80" w:rsidRPr="00AD4B80">
          <w:rPr>
            <w:rStyle w:val="Hyperlink"/>
          </w:rPr>
          <w:t xml:space="preserve"> Genotoxicity Tests</w:t>
        </w:r>
        <w:r w:rsidR="00AD4B80" w:rsidRPr="00AD4B80">
          <w:rPr>
            <w:webHidden/>
          </w:rPr>
          <w:tab/>
        </w:r>
        <w:r w:rsidRPr="00AD4B80">
          <w:rPr>
            <w:webHidden/>
          </w:rPr>
          <w:fldChar w:fldCharType="begin"/>
        </w:r>
        <w:r w:rsidR="00AD4B80" w:rsidRPr="00AD4B80">
          <w:rPr>
            <w:webHidden/>
          </w:rPr>
          <w:instrText xml:space="preserve"> PAGEREF _Toc309835299 \h </w:instrText>
        </w:r>
        <w:r w:rsidRPr="00AD4B80">
          <w:rPr>
            <w:webHidden/>
          </w:rPr>
        </w:r>
        <w:r w:rsidRPr="00AD4B80">
          <w:rPr>
            <w:webHidden/>
          </w:rPr>
          <w:fldChar w:fldCharType="separate"/>
        </w:r>
        <w:r w:rsidR="002F432B">
          <w:rPr>
            <w:webHidden/>
          </w:rPr>
          <w:t>10</w:t>
        </w:r>
        <w:r w:rsidRPr="00AD4B80">
          <w:rPr>
            <w:webHidden/>
          </w:rPr>
          <w:fldChar w:fldCharType="end"/>
        </w:r>
      </w:hyperlink>
    </w:p>
    <w:p w:rsidR="00AD4B80" w:rsidRPr="00AD4B80" w:rsidRDefault="00800FBA" w:rsidP="00AD4B80">
      <w:pPr>
        <w:pStyle w:val="TOC2"/>
        <w:rPr>
          <w:rFonts w:eastAsiaTheme="minorEastAsia" w:cstheme="minorBidi"/>
          <w:color w:val="auto"/>
          <w:kern w:val="0"/>
          <w:lang w:eastAsia="en-US"/>
        </w:rPr>
      </w:pPr>
      <w:hyperlink w:anchor="_Toc309835300" w:history="1">
        <w:r w:rsidR="00AD4B80" w:rsidRPr="00AD4B80">
          <w:rPr>
            <w:rStyle w:val="Hyperlink"/>
          </w:rPr>
          <w:t>4.8</w:t>
        </w:r>
        <w:r w:rsidR="00AD4B80" w:rsidRPr="00AD4B80">
          <w:rPr>
            <w:rFonts w:eastAsiaTheme="minorEastAsia" w:cstheme="minorBidi"/>
            <w:color w:val="auto"/>
            <w:kern w:val="0"/>
            <w:lang w:eastAsia="en-US"/>
          </w:rPr>
          <w:tab/>
        </w:r>
        <w:r w:rsidR="00AD4B80" w:rsidRPr="00AD4B80">
          <w:rPr>
            <w:rStyle w:val="Hyperlink"/>
          </w:rPr>
          <w:t>Route of Administration</w:t>
        </w:r>
        <w:r w:rsidR="00AD4B80" w:rsidRPr="00AD4B80">
          <w:rPr>
            <w:webHidden/>
          </w:rPr>
          <w:tab/>
        </w:r>
        <w:r w:rsidRPr="00AD4B80">
          <w:rPr>
            <w:webHidden/>
          </w:rPr>
          <w:fldChar w:fldCharType="begin"/>
        </w:r>
        <w:r w:rsidR="00AD4B80" w:rsidRPr="00AD4B80">
          <w:rPr>
            <w:webHidden/>
          </w:rPr>
          <w:instrText xml:space="preserve"> PAGEREF _Toc309835300 \h </w:instrText>
        </w:r>
        <w:r w:rsidRPr="00AD4B80">
          <w:rPr>
            <w:webHidden/>
          </w:rPr>
        </w:r>
        <w:r w:rsidRPr="00AD4B80">
          <w:rPr>
            <w:webHidden/>
          </w:rPr>
          <w:fldChar w:fldCharType="separate"/>
        </w:r>
        <w:r w:rsidR="002F432B">
          <w:rPr>
            <w:webHidden/>
          </w:rPr>
          <w:t>11</w:t>
        </w:r>
        <w:r w:rsidRPr="00AD4B80">
          <w:rPr>
            <w:webHidden/>
          </w:rPr>
          <w:fldChar w:fldCharType="end"/>
        </w:r>
      </w:hyperlink>
    </w:p>
    <w:p w:rsidR="00AD4B80" w:rsidRPr="00AD4B80" w:rsidRDefault="00800FBA" w:rsidP="00AD4B80">
      <w:pPr>
        <w:pStyle w:val="TOC2"/>
        <w:rPr>
          <w:rFonts w:eastAsiaTheme="minorEastAsia" w:cstheme="minorBidi"/>
          <w:color w:val="auto"/>
          <w:kern w:val="0"/>
          <w:lang w:eastAsia="en-US"/>
        </w:rPr>
      </w:pPr>
      <w:hyperlink w:anchor="_Toc309835301" w:history="1">
        <w:r w:rsidR="00AD4B80" w:rsidRPr="00AD4B80">
          <w:rPr>
            <w:rStyle w:val="Hyperlink"/>
          </w:rPr>
          <w:t>4.9</w:t>
        </w:r>
        <w:r w:rsidR="00AD4B80" w:rsidRPr="00AD4B80">
          <w:rPr>
            <w:rFonts w:eastAsiaTheme="minorEastAsia" w:cstheme="minorBidi"/>
            <w:color w:val="auto"/>
            <w:kern w:val="0"/>
            <w:lang w:eastAsia="en-US"/>
          </w:rPr>
          <w:tab/>
        </w:r>
        <w:r w:rsidR="00AD4B80" w:rsidRPr="00AD4B80">
          <w:rPr>
            <w:rStyle w:val="Hyperlink"/>
          </w:rPr>
          <w:t xml:space="preserve">Use of Positive Controls for </w:t>
        </w:r>
        <w:r w:rsidR="00AD4B80" w:rsidRPr="00AD4B80">
          <w:rPr>
            <w:rStyle w:val="Hyperlink"/>
            <w:i/>
          </w:rPr>
          <w:t>In Vivo</w:t>
        </w:r>
        <w:r w:rsidR="00AD4B80" w:rsidRPr="00AD4B80">
          <w:rPr>
            <w:rStyle w:val="Hyperlink"/>
          </w:rPr>
          <w:t xml:space="preserve"> Studies</w:t>
        </w:r>
        <w:r w:rsidR="00AD4B80" w:rsidRPr="00AD4B80">
          <w:rPr>
            <w:webHidden/>
          </w:rPr>
          <w:tab/>
        </w:r>
        <w:r w:rsidRPr="00AD4B80">
          <w:rPr>
            <w:webHidden/>
          </w:rPr>
          <w:fldChar w:fldCharType="begin"/>
        </w:r>
        <w:r w:rsidR="00AD4B80" w:rsidRPr="00AD4B80">
          <w:rPr>
            <w:webHidden/>
          </w:rPr>
          <w:instrText xml:space="preserve"> PAGEREF _Toc309835301 \h </w:instrText>
        </w:r>
        <w:r w:rsidRPr="00AD4B80">
          <w:rPr>
            <w:webHidden/>
          </w:rPr>
        </w:r>
        <w:r w:rsidRPr="00AD4B80">
          <w:rPr>
            <w:webHidden/>
          </w:rPr>
          <w:fldChar w:fldCharType="separate"/>
        </w:r>
        <w:r w:rsidR="002F432B">
          <w:rPr>
            <w:webHidden/>
          </w:rPr>
          <w:t>11</w:t>
        </w:r>
        <w:r w:rsidRPr="00AD4B80">
          <w:rPr>
            <w:webHidden/>
          </w:rPr>
          <w:fldChar w:fldCharType="end"/>
        </w:r>
      </w:hyperlink>
    </w:p>
    <w:p w:rsidR="00AD4B80" w:rsidRPr="00AD4B80" w:rsidRDefault="00800FBA" w:rsidP="00AD4B80">
      <w:pPr>
        <w:pStyle w:val="TOC1"/>
        <w:rPr>
          <w:rFonts w:eastAsiaTheme="minorEastAsia" w:cstheme="minorBidi"/>
          <w:color w:val="auto"/>
          <w:kern w:val="0"/>
          <w:lang w:eastAsia="en-US"/>
        </w:rPr>
      </w:pPr>
      <w:hyperlink w:anchor="_Toc309835302" w:history="1">
        <w:r w:rsidR="00AD4B80" w:rsidRPr="00AD4B80">
          <w:rPr>
            <w:rStyle w:val="Hyperlink"/>
          </w:rPr>
          <w:t>5.</w:t>
        </w:r>
        <w:r w:rsidR="00AD4B80" w:rsidRPr="00AD4B80">
          <w:rPr>
            <w:rFonts w:eastAsiaTheme="minorEastAsia" w:cstheme="minorBidi"/>
            <w:color w:val="auto"/>
            <w:kern w:val="0"/>
            <w:lang w:eastAsia="en-US"/>
          </w:rPr>
          <w:tab/>
        </w:r>
        <w:r w:rsidR="00AD4B80" w:rsidRPr="00AD4B80">
          <w:rPr>
            <w:rStyle w:val="Hyperlink"/>
            <w:smallCaps/>
          </w:rPr>
          <w:t>Guidance on Evaluation of Test Results and on Follow-up Test Strategies</w:t>
        </w:r>
        <w:r w:rsidR="00AD4B80" w:rsidRPr="00AD4B80">
          <w:rPr>
            <w:webHidden/>
          </w:rPr>
          <w:tab/>
        </w:r>
        <w:r w:rsidRPr="00AD4B80">
          <w:rPr>
            <w:webHidden/>
          </w:rPr>
          <w:fldChar w:fldCharType="begin"/>
        </w:r>
        <w:r w:rsidR="00AD4B80" w:rsidRPr="00AD4B80">
          <w:rPr>
            <w:webHidden/>
          </w:rPr>
          <w:instrText xml:space="preserve"> PAGEREF _Toc309835302 \h </w:instrText>
        </w:r>
        <w:r w:rsidRPr="00AD4B80">
          <w:rPr>
            <w:webHidden/>
          </w:rPr>
        </w:r>
        <w:r w:rsidRPr="00AD4B80">
          <w:rPr>
            <w:webHidden/>
          </w:rPr>
          <w:fldChar w:fldCharType="separate"/>
        </w:r>
        <w:r w:rsidR="002F432B">
          <w:rPr>
            <w:webHidden/>
          </w:rPr>
          <w:t>11</w:t>
        </w:r>
        <w:r w:rsidRPr="00AD4B80">
          <w:rPr>
            <w:webHidden/>
          </w:rPr>
          <w:fldChar w:fldCharType="end"/>
        </w:r>
      </w:hyperlink>
    </w:p>
    <w:p w:rsidR="00AD4B80" w:rsidRPr="00AD4B80" w:rsidRDefault="00800FBA" w:rsidP="00AD4B80">
      <w:pPr>
        <w:pStyle w:val="TOC2"/>
        <w:rPr>
          <w:rFonts w:eastAsiaTheme="minorEastAsia" w:cstheme="minorBidi"/>
          <w:color w:val="auto"/>
          <w:kern w:val="0"/>
          <w:lang w:eastAsia="en-US"/>
        </w:rPr>
      </w:pPr>
      <w:hyperlink w:anchor="_Toc309835303" w:history="1">
        <w:r w:rsidR="00AD4B80" w:rsidRPr="00AD4B80">
          <w:rPr>
            <w:rStyle w:val="Hyperlink"/>
          </w:rPr>
          <w:t>5.1</w:t>
        </w:r>
        <w:r w:rsidR="00AD4B80" w:rsidRPr="00AD4B80">
          <w:rPr>
            <w:rFonts w:eastAsiaTheme="minorEastAsia" w:cstheme="minorBidi"/>
            <w:color w:val="auto"/>
            <w:kern w:val="0"/>
            <w:lang w:eastAsia="en-US"/>
          </w:rPr>
          <w:tab/>
        </w:r>
        <w:r w:rsidR="00AD4B80" w:rsidRPr="00AD4B80">
          <w:rPr>
            <w:rStyle w:val="Hyperlink"/>
          </w:rPr>
          <w:t>Assessment of Biological Relevance</w:t>
        </w:r>
        <w:r w:rsidR="00AD4B80" w:rsidRPr="00AD4B80">
          <w:rPr>
            <w:webHidden/>
          </w:rPr>
          <w:tab/>
        </w:r>
        <w:r w:rsidRPr="00AD4B80">
          <w:rPr>
            <w:webHidden/>
          </w:rPr>
          <w:fldChar w:fldCharType="begin"/>
        </w:r>
        <w:r w:rsidR="00AD4B80" w:rsidRPr="00AD4B80">
          <w:rPr>
            <w:webHidden/>
          </w:rPr>
          <w:instrText xml:space="preserve"> PAGEREF _Toc309835303 \h </w:instrText>
        </w:r>
        <w:r w:rsidRPr="00AD4B80">
          <w:rPr>
            <w:webHidden/>
          </w:rPr>
        </w:r>
        <w:r w:rsidRPr="00AD4B80">
          <w:rPr>
            <w:webHidden/>
          </w:rPr>
          <w:fldChar w:fldCharType="separate"/>
        </w:r>
        <w:r w:rsidR="002F432B">
          <w:rPr>
            <w:webHidden/>
          </w:rPr>
          <w:t>11</w:t>
        </w:r>
        <w:r w:rsidRPr="00AD4B80">
          <w:rPr>
            <w:webHidden/>
          </w:rPr>
          <w:fldChar w:fldCharType="end"/>
        </w:r>
      </w:hyperlink>
    </w:p>
    <w:p w:rsidR="00AD4B80" w:rsidRPr="00AD4B80" w:rsidRDefault="00800FBA" w:rsidP="00AD4B80">
      <w:pPr>
        <w:pStyle w:val="TOC2"/>
        <w:rPr>
          <w:rFonts w:eastAsiaTheme="minorEastAsia" w:cstheme="minorBidi"/>
          <w:color w:val="auto"/>
          <w:kern w:val="0"/>
          <w:lang w:eastAsia="en-US"/>
        </w:rPr>
      </w:pPr>
      <w:hyperlink w:anchor="_Toc309835304" w:history="1">
        <w:r w:rsidR="00AD4B80" w:rsidRPr="00AD4B80">
          <w:rPr>
            <w:rStyle w:val="Hyperlink"/>
          </w:rPr>
          <w:t>5.2</w:t>
        </w:r>
        <w:r w:rsidR="00AD4B80" w:rsidRPr="00AD4B80">
          <w:rPr>
            <w:rFonts w:eastAsiaTheme="minorEastAsia" w:cstheme="minorBidi"/>
            <w:color w:val="auto"/>
            <w:kern w:val="0"/>
            <w:lang w:eastAsia="en-US"/>
          </w:rPr>
          <w:tab/>
        </w:r>
        <w:r w:rsidR="00AD4B80" w:rsidRPr="00AD4B80">
          <w:rPr>
            <w:rStyle w:val="Hyperlink"/>
          </w:rPr>
          <w:t xml:space="preserve">Evaluation of Results Obtained in </w:t>
        </w:r>
        <w:r w:rsidR="00AD4B80" w:rsidRPr="00AD4B80">
          <w:rPr>
            <w:rStyle w:val="Hyperlink"/>
            <w:i/>
          </w:rPr>
          <w:t>In Vitro</w:t>
        </w:r>
        <w:r w:rsidR="00AD4B80" w:rsidRPr="00AD4B80">
          <w:rPr>
            <w:rStyle w:val="Hyperlink"/>
          </w:rPr>
          <w:t xml:space="preserve"> Tests</w:t>
        </w:r>
        <w:r w:rsidR="00AD4B80" w:rsidRPr="00AD4B80">
          <w:rPr>
            <w:webHidden/>
          </w:rPr>
          <w:tab/>
        </w:r>
        <w:r w:rsidRPr="00AD4B80">
          <w:rPr>
            <w:webHidden/>
          </w:rPr>
          <w:fldChar w:fldCharType="begin"/>
        </w:r>
        <w:r w:rsidR="00AD4B80" w:rsidRPr="00AD4B80">
          <w:rPr>
            <w:webHidden/>
          </w:rPr>
          <w:instrText xml:space="preserve"> PAGEREF _Toc309835304 \h </w:instrText>
        </w:r>
        <w:r w:rsidRPr="00AD4B80">
          <w:rPr>
            <w:webHidden/>
          </w:rPr>
        </w:r>
        <w:r w:rsidRPr="00AD4B80">
          <w:rPr>
            <w:webHidden/>
          </w:rPr>
          <w:fldChar w:fldCharType="separate"/>
        </w:r>
        <w:r w:rsidR="002F432B">
          <w:rPr>
            <w:webHidden/>
          </w:rPr>
          <w:t>12</w:t>
        </w:r>
        <w:r w:rsidRPr="00AD4B80">
          <w:rPr>
            <w:webHidden/>
          </w:rPr>
          <w:fldChar w:fldCharType="end"/>
        </w:r>
      </w:hyperlink>
    </w:p>
    <w:p w:rsidR="00AD4B80" w:rsidRPr="002F432B" w:rsidRDefault="00800FBA" w:rsidP="002F432B">
      <w:pPr>
        <w:pStyle w:val="TOC3"/>
        <w:rPr>
          <w:rFonts w:eastAsiaTheme="minorEastAsia" w:cstheme="minorBidi"/>
          <w:color w:val="auto"/>
          <w:kern w:val="0"/>
          <w:lang w:eastAsia="en-US"/>
        </w:rPr>
      </w:pPr>
      <w:hyperlink w:anchor="_Toc309835305" w:history="1">
        <w:r w:rsidR="00AD4B80" w:rsidRPr="002F432B">
          <w:rPr>
            <w:rStyle w:val="Hyperlink"/>
            <w:i/>
          </w:rPr>
          <w:t>5.2.1</w:t>
        </w:r>
        <w:r w:rsidR="00AD4B80" w:rsidRPr="002F432B">
          <w:rPr>
            <w:rFonts w:eastAsiaTheme="minorEastAsia" w:cstheme="minorBidi"/>
            <w:color w:val="auto"/>
            <w:kern w:val="0"/>
            <w:lang w:eastAsia="en-US"/>
          </w:rPr>
          <w:tab/>
        </w:r>
        <w:r w:rsidR="00AD4B80" w:rsidRPr="002F432B">
          <w:rPr>
            <w:rStyle w:val="Hyperlink"/>
            <w:i/>
          </w:rPr>
          <w:t>Evaluation of Positive Results Obtained In Vitro in a Bacterial Mutation Assay</w:t>
        </w:r>
        <w:r w:rsidR="00AD4B80" w:rsidRPr="002F432B">
          <w:rPr>
            <w:webHidden/>
          </w:rPr>
          <w:tab/>
        </w:r>
        <w:r w:rsidRPr="002F432B">
          <w:rPr>
            <w:webHidden/>
          </w:rPr>
          <w:fldChar w:fldCharType="begin"/>
        </w:r>
        <w:r w:rsidR="00AD4B80" w:rsidRPr="002F432B">
          <w:rPr>
            <w:webHidden/>
          </w:rPr>
          <w:instrText xml:space="preserve"> PAGEREF _Toc309835305 \h </w:instrText>
        </w:r>
        <w:r w:rsidRPr="002F432B">
          <w:rPr>
            <w:webHidden/>
          </w:rPr>
        </w:r>
        <w:r w:rsidRPr="002F432B">
          <w:rPr>
            <w:webHidden/>
          </w:rPr>
          <w:fldChar w:fldCharType="separate"/>
        </w:r>
        <w:r w:rsidR="002F432B" w:rsidRPr="002F432B">
          <w:rPr>
            <w:webHidden/>
          </w:rPr>
          <w:t>12</w:t>
        </w:r>
        <w:r w:rsidRPr="002F432B">
          <w:rPr>
            <w:webHidden/>
          </w:rPr>
          <w:fldChar w:fldCharType="end"/>
        </w:r>
      </w:hyperlink>
    </w:p>
    <w:p w:rsidR="00AD4B80" w:rsidRPr="00AD4B80" w:rsidRDefault="00800FBA" w:rsidP="002F432B">
      <w:pPr>
        <w:pStyle w:val="TOC3"/>
        <w:rPr>
          <w:rFonts w:eastAsiaTheme="minorEastAsia" w:cstheme="minorBidi"/>
          <w:color w:val="auto"/>
          <w:kern w:val="0"/>
          <w:lang w:eastAsia="en-US"/>
        </w:rPr>
      </w:pPr>
      <w:hyperlink w:anchor="_Toc309835306" w:history="1">
        <w:r w:rsidR="00AD4B80" w:rsidRPr="00AD4B80">
          <w:rPr>
            <w:rStyle w:val="Hyperlink"/>
            <w:i/>
          </w:rPr>
          <w:t>5.2.2</w:t>
        </w:r>
        <w:r w:rsidR="00AD4B80" w:rsidRPr="00AD4B80">
          <w:rPr>
            <w:rFonts w:eastAsiaTheme="minorEastAsia" w:cstheme="minorBidi"/>
            <w:color w:val="auto"/>
            <w:kern w:val="0"/>
            <w:lang w:eastAsia="en-US"/>
          </w:rPr>
          <w:tab/>
        </w:r>
        <w:r w:rsidR="00AD4B80" w:rsidRPr="00AD4B80">
          <w:rPr>
            <w:rStyle w:val="Hyperlink"/>
            <w:i/>
          </w:rPr>
          <w:t>Evaluation of Positive Results Obtained In Vitro in Mammalian Cell Assays</w:t>
        </w:r>
        <w:r w:rsidR="00AD4B80" w:rsidRPr="00AD4B80">
          <w:rPr>
            <w:webHidden/>
          </w:rPr>
          <w:tab/>
        </w:r>
        <w:r w:rsidRPr="00AD4B80">
          <w:rPr>
            <w:webHidden/>
          </w:rPr>
          <w:fldChar w:fldCharType="begin"/>
        </w:r>
        <w:r w:rsidR="00AD4B80" w:rsidRPr="00AD4B80">
          <w:rPr>
            <w:webHidden/>
          </w:rPr>
          <w:instrText xml:space="preserve"> PAGEREF _Toc309835306 \h </w:instrText>
        </w:r>
        <w:r w:rsidRPr="00AD4B80">
          <w:rPr>
            <w:webHidden/>
          </w:rPr>
        </w:r>
        <w:r w:rsidRPr="00AD4B80">
          <w:rPr>
            <w:webHidden/>
          </w:rPr>
          <w:fldChar w:fldCharType="separate"/>
        </w:r>
        <w:r w:rsidR="002F432B">
          <w:rPr>
            <w:webHidden/>
          </w:rPr>
          <w:t>12</w:t>
        </w:r>
        <w:r w:rsidRPr="00AD4B80">
          <w:rPr>
            <w:webHidden/>
          </w:rPr>
          <w:fldChar w:fldCharType="end"/>
        </w:r>
      </w:hyperlink>
    </w:p>
    <w:p w:rsidR="00AD4B80" w:rsidRPr="00AD4B80" w:rsidRDefault="00800FBA" w:rsidP="002F432B">
      <w:pPr>
        <w:pStyle w:val="TOC3"/>
        <w:rPr>
          <w:rFonts w:eastAsiaTheme="minorEastAsia" w:cstheme="minorBidi"/>
          <w:color w:val="auto"/>
          <w:kern w:val="0"/>
          <w:lang w:eastAsia="en-US"/>
        </w:rPr>
      </w:pPr>
      <w:hyperlink w:anchor="_Toc309835307" w:history="1">
        <w:r w:rsidR="00AD4B80" w:rsidRPr="00AD4B80">
          <w:rPr>
            <w:rStyle w:val="Hyperlink"/>
            <w:i/>
          </w:rPr>
          <w:t>5.2.3</w:t>
        </w:r>
        <w:r w:rsidR="00AD4B80" w:rsidRPr="00AD4B80">
          <w:rPr>
            <w:rFonts w:eastAsiaTheme="minorEastAsia" w:cstheme="minorBidi"/>
            <w:color w:val="auto"/>
            <w:kern w:val="0"/>
            <w:lang w:eastAsia="en-US"/>
          </w:rPr>
          <w:tab/>
        </w:r>
        <w:r w:rsidR="00AD4B80" w:rsidRPr="00AD4B80">
          <w:rPr>
            <w:rStyle w:val="Hyperlink"/>
            <w:i/>
          </w:rPr>
          <w:t>Evaluation of In Vitro</w:t>
        </w:r>
        <w:r w:rsidR="00AD4B80" w:rsidRPr="00AD4B80">
          <w:rPr>
            <w:rStyle w:val="Hyperlink"/>
            <w:i/>
            <w:iCs/>
          </w:rPr>
          <w:t xml:space="preserve"> </w:t>
        </w:r>
        <w:r w:rsidR="00AD4B80" w:rsidRPr="00AD4B80">
          <w:rPr>
            <w:rStyle w:val="Hyperlink"/>
            <w:i/>
          </w:rPr>
          <w:t>Negative Results</w:t>
        </w:r>
        <w:r w:rsidR="00AD4B80" w:rsidRPr="00AD4B80">
          <w:rPr>
            <w:webHidden/>
          </w:rPr>
          <w:tab/>
        </w:r>
        <w:r w:rsidRPr="00AD4B80">
          <w:rPr>
            <w:webHidden/>
          </w:rPr>
          <w:fldChar w:fldCharType="begin"/>
        </w:r>
        <w:r w:rsidR="00AD4B80" w:rsidRPr="00AD4B80">
          <w:rPr>
            <w:webHidden/>
          </w:rPr>
          <w:instrText xml:space="preserve"> PAGEREF _Toc309835307 \h </w:instrText>
        </w:r>
        <w:r w:rsidRPr="00AD4B80">
          <w:rPr>
            <w:webHidden/>
          </w:rPr>
        </w:r>
        <w:r w:rsidRPr="00AD4B80">
          <w:rPr>
            <w:webHidden/>
          </w:rPr>
          <w:fldChar w:fldCharType="separate"/>
        </w:r>
        <w:r w:rsidR="002F432B">
          <w:rPr>
            <w:webHidden/>
          </w:rPr>
          <w:t>12</w:t>
        </w:r>
        <w:r w:rsidRPr="00AD4B80">
          <w:rPr>
            <w:webHidden/>
          </w:rPr>
          <w:fldChar w:fldCharType="end"/>
        </w:r>
      </w:hyperlink>
    </w:p>
    <w:p w:rsidR="00AD4B80" w:rsidRPr="00AD4B80" w:rsidRDefault="00800FBA" w:rsidP="00AD4B80">
      <w:pPr>
        <w:pStyle w:val="TOC2"/>
        <w:rPr>
          <w:rFonts w:eastAsiaTheme="minorEastAsia" w:cstheme="minorBidi"/>
          <w:color w:val="auto"/>
          <w:kern w:val="0"/>
          <w:lang w:eastAsia="en-US"/>
        </w:rPr>
      </w:pPr>
      <w:hyperlink w:anchor="_Toc309835308" w:history="1">
        <w:r w:rsidR="00AD4B80" w:rsidRPr="00AD4B80">
          <w:rPr>
            <w:rStyle w:val="Hyperlink"/>
          </w:rPr>
          <w:t>5.3</w:t>
        </w:r>
        <w:r w:rsidR="00AD4B80" w:rsidRPr="00AD4B80">
          <w:rPr>
            <w:rFonts w:eastAsiaTheme="minorEastAsia" w:cstheme="minorBidi"/>
            <w:color w:val="auto"/>
            <w:kern w:val="0"/>
            <w:lang w:eastAsia="en-US"/>
          </w:rPr>
          <w:tab/>
        </w:r>
        <w:r w:rsidR="00AD4B80" w:rsidRPr="00AD4B80">
          <w:rPr>
            <w:rStyle w:val="Hyperlink"/>
          </w:rPr>
          <w:t xml:space="preserve">Evaluation of Results Obtained from </w:t>
        </w:r>
        <w:r w:rsidR="00AD4B80" w:rsidRPr="00AD4B80">
          <w:rPr>
            <w:rStyle w:val="Hyperlink"/>
            <w:i/>
          </w:rPr>
          <w:t>In Vivo</w:t>
        </w:r>
        <w:r w:rsidR="00AD4B80" w:rsidRPr="00AD4B80">
          <w:rPr>
            <w:rStyle w:val="Hyperlink"/>
          </w:rPr>
          <w:t xml:space="preserve"> Tests</w:t>
        </w:r>
        <w:r w:rsidR="00AD4B80" w:rsidRPr="00AD4B80">
          <w:rPr>
            <w:webHidden/>
          </w:rPr>
          <w:tab/>
        </w:r>
        <w:r w:rsidRPr="00AD4B80">
          <w:rPr>
            <w:webHidden/>
          </w:rPr>
          <w:fldChar w:fldCharType="begin"/>
        </w:r>
        <w:r w:rsidR="00AD4B80" w:rsidRPr="00AD4B80">
          <w:rPr>
            <w:webHidden/>
          </w:rPr>
          <w:instrText xml:space="preserve"> PAGEREF _Toc309835308 \h </w:instrText>
        </w:r>
        <w:r w:rsidRPr="00AD4B80">
          <w:rPr>
            <w:webHidden/>
          </w:rPr>
        </w:r>
        <w:r w:rsidRPr="00AD4B80">
          <w:rPr>
            <w:webHidden/>
          </w:rPr>
          <w:fldChar w:fldCharType="separate"/>
        </w:r>
        <w:r w:rsidR="002F432B">
          <w:rPr>
            <w:webHidden/>
          </w:rPr>
          <w:t>13</w:t>
        </w:r>
        <w:r w:rsidRPr="00AD4B80">
          <w:rPr>
            <w:webHidden/>
          </w:rPr>
          <w:fldChar w:fldCharType="end"/>
        </w:r>
      </w:hyperlink>
    </w:p>
    <w:p w:rsidR="00AD4B80" w:rsidRPr="00AD4B80" w:rsidRDefault="00800FBA" w:rsidP="00AD4B80">
      <w:pPr>
        <w:pStyle w:val="TOC2"/>
        <w:rPr>
          <w:rFonts w:eastAsiaTheme="minorEastAsia" w:cstheme="minorBidi"/>
          <w:color w:val="auto"/>
          <w:kern w:val="0"/>
          <w:lang w:eastAsia="en-US"/>
        </w:rPr>
      </w:pPr>
      <w:hyperlink w:anchor="_Toc309835309" w:history="1">
        <w:r w:rsidR="00AD4B80" w:rsidRPr="00AD4B80">
          <w:rPr>
            <w:rStyle w:val="Hyperlink"/>
          </w:rPr>
          <w:t>5.4</w:t>
        </w:r>
        <w:r w:rsidR="00AD4B80" w:rsidRPr="00AD4B80">
          <w:rPr>
            <w:rFonts w:eastAsiaTheme="minorEastAsia" w:cstheme="minorBidi"/>
            <w:color w:val="auto"/>
            <w:kern w:val="0"/>
            <w:lang w:eastAsia="en-US"/>
          </w:rPr>
          <w:tab/>
        </w:r>
        <w:r w:rsidR="00AD4B80" w:rsidRPr="00AD4B80">
          <w:rPr>
            <w:rStyle w:val="Hyperlink"/>
          </w:rPr>
          <w:t>Follow-up Strategies for Positive Results</w:t>
        </w:r>
        <w:r w:rsidR="00AD4B80" w:rsidRPr="00AD4B80">
          <w:rPr>
            <w:webHidden/>
          </w:rPr>
          <w:tab/>
        </w:r>
        <w:r w:rsidRPr="00AD4B80">
          <w:rPr>
            <w:webHidden/>
          </w:rPr>
          <w:fldChar w:fldCharType="begin"/>
        </w:r>
        <w:r w:rsidR="00AD4B80" w:rsidRPr="00AD4B80">
          <w:rPr>
            <w:webHidden/>
          </w:rPr>
          <w:instrText xml:space="preserve"> PAGEREF _Toc309835309 \h </w:instrText>
        </w:r>
        <w:r w:rsidRPr="00AD4B80">
          <w:rPr>
            <w:webHidden/>
          </w:rPr>
        </w:r>
        <w:r w:rsidRPr="00AD4B80">
          <w:rPr>
            <w:webHidden/>
          </w:rPr>
          <w:fldChar w:fldCharType="separate"/>
        </w:r>
        <w:r w:rsidR="002F432B">
          <w:rPr>
            <w:webHidden/>
          </w:rPr>
          <w:t>13</w:t>
        </w:r>
        <w:r w:rsidRPr="00AD4B80">
          <w:rPr>
            <w:webHidden/>
          </w:rPr>
          <w:fldChar w:fldCharType="end"/>
        </w:r>
      </w:hyperlink>
    </w:p>
    <w:p w:rsidR="00AD4B80" w:rsidRPr="00AD4B80" w:rsidRDefault="00800FBA" w:rsidP="002F432B">
      <w:pPr>
        <w:pStyle w:val="TOC3"/>
        <w:rPr>
          <w:rFonts w:eastAsiaTheme="minorEastAsia" w:cstheme="minorBidi"/>
          <w:color w:val="auto"/>
          <w:kern w:val="0"/>
          <w:lang w:eastAsia="en-US"/>
        </w:rPr>
      </w:pPr>
      <w:hyperlink w:anchor="_Toc309835310" w:history="1">
        <w:r w:rsidR="00AD4B80" w:rsidRPr="00AD4B80">
          <w:rPr>
            <w:rStyle w:val="Hyperlink"/>
            <w:i/>
          </w:rPr>
          <w:t>5.4.1</w:t>
        </w:r>
        <w:r w:rsidR="00AD4B80" w:rsidRPr="00AD4B80">
          <w:rPr>
            <w:rFonts w:eastAsiaTheme="minorEastAsia" w:cstheme="minorBidi"/>
            <w:color w:val="auto"/>
            <w:kern w:val="0"/>
            <w:lang w:eastAsia="en-US"/>
          </w:rPr>
          <w:tab/>
        </w:r>
        <w:r w:rsidR="00AD4B80" w:rsidRPr="00AD4B80">
          <w:rPr>
            <w:rStyle w:val="Hyperlink"/>
            <w:i/>
          </w:rPr>
          <w:t xml:space="preserve">Follow-up to Findings in In Vitro in </w:t>
        </w:r>
        <w:r w:rsidR="00AD4B80" w:rsidRPr="00AD4B80">
          <w:rPr>
            <w:rStyle w:val="Hyperlink"/>
            <w:i/>
            <w:iCs/>
          </w:rPr>
          <w:t>Mammalian Cell</w:t>
        </w:r>
        <w:r w:rsidR="00AD4B80" w:rsidRPr="00AD4B80">
          <w:rPr>
            <w:rStyle w:val="Hyperlink"/>
            <w:i/>
          </w:rPr>
          <w:t xml:space="preserve"> Tests</w:t>
        </w:r>
        <w:r w:rsidR="00AD4B80" w:rsidRPr="00AD4B80">
          <w:rPr>
            <w:webHidden/>
          </w:rPr>
          <w:tab/>
        </w:r>
        <w:r w:rsidRPr="00AD4B80">
          <w:rPr>
            <w:webHidden/>
          </w:rPr>
          <w:fldChar w:fldCharType="begin"/>
        </w:r>
        <w:r w:rsidR="00AD4B80" w:rsidRPr="00AD4B80">
          <w:rPr>
            <w:webHidden/>
          </w:rPr>
          <w:instrText xml:space="preserve"> PAGEREF _Toc309835310 \h </w:instrText>
        </w:r>
        <w:r w:rsidRPr="00AD4B80">
          <w:rPr>
            <w:webHidden/>
          </w:rPr>
        </w:r>
        <w:r w:rsidRPr="00AD4B80">
          <w:rPr>
            <w:webHidden/>
          </w:rPr>
          <w:fldChar w:fldCharType="separate"/>
        </w:r>
        <w:r w:rsidR="002F432B">
          <w:rPr>
            <w:webHidden/>
          </w:rPr>
          <w:t>13</w:t>
        </w:r>
        <w:r w:rsidRPr="00AD4B80">
          <w:rPr>
            <w:webHidden/>
          </w:rPr>
          <w:fldChar w:fldCharType="end"/>
        </w:r>
      </w:hyperlink>
    </w:p>
    <w:p w:rsidR="00AD4B80" w:rsidRPr="00AD4B80" w:rsidRDefault="00800FBA" w:rsidP="002F432B">
      <w:pPr>
        <w:pStyle w:val="TOC3"/>
        <w:rPr>
          <w:rFonts w:eastAsiaTheme="minorEastAsia" w:cstheme="minorBidi"/>
          <w:color w:val="auto"/>
          <w:kern w:val="0"/>
          <w:lang w:eastAsia="en-US"/>
        </w:rPr>
      </w:pPr>
      <w:hyperlink w:anchor="_Toc309835311" w:history="1">
        <w:r w:rsidR="00AD4B80" w:rsidRPr="00AD4B80">
          <w:rPr>
            <w:rStyle w:val="Hyperlink"/>
            <w:i/>
            <w:iCs/>
          </w:rPr>
          <w:t>5.4.2</w:t>
        </w:r>
        <w:r w:rsidR="00AD4B80" w:rsidRPr="00AD4B80">
          <w:rPr>
            <w:rFonts w:eastAsiaTheme="minorEastAsia" w:cstheme="minorBidi"/>
            <w:color w:val="auto"/>
            <w:kern w:val="0"/>
            <w:lang w:eastAsia="en-US"/>
          </w:rPr>
          <w:tab/>
        </w:r>
        <w:r w:rsidR="00AD4B80" w:rsidRPr="00AD4B80">
          <w:rPr>
            <w:rStyle w:val="Hyperlink"/>
            <w:i/>
            <w:iCs/>
          </w:rPr>
          <w:t>Follow-up to a Positive In Vivo Micronucleus Assay</w:t>
        </w:r>
        <w:r w:rsidR="00AD4B80" w:rsidRPr="00AD4B80">
          <w:rPr>
            <w:webHidden/>
          </w:rPr>
          <w:tab/>
        </w:r>
        <w:r w:rsidRPr="00AD4B80">
          <w:rPr>
            <w:webHidden/>
          </w:rPr>
          <w:fldChar w:fldCharType="begin"/>
        </w:r>
        <w:r w:rsidR="00AD4B80" w:rsidRPr="00AD4B80">
          <w:rPr>
            <w:webHidden/>
          </w:rPr>
          <w:instrText xml:space="preserve"> PAGEREF _Toc309835311 \h </w:instrText>
        </w:r>
        <w:r w:rsidRPr="00AD4B80">
          <w:rPr>
            <w:webHidden/>
          </w:rPr>
        </w:r>
        <w:r w:rsidRPr="00AD4B80">
          <w:rPr>
            <w:webHidden/>
          </w:rPr>
          <w:fldChar w:fldCharType="separate"/>
        </w:r>
        <w:r w:rsidR="002F432B">
          <w:rPr>
            <w:webHidden/>
          </w:rPr>
          <w:t>14</w:t>
        </w:r>
        <w:r w:rsidRPr="00AD4B80">
          <w:rPr>
            <w:webHidden/>
          </w:rPr>
          <w:fldChar w:fldCharType="end"/>
        </w:r>
      </w:hyperlink>
    </w:p>
    <w:p w:rsidR="00AD4B80" w:rsidRPr="00AD4B80" w:rsidRDefault="00800FBA" w:rsidP="00AD4B80">
      <w:pPr>
        <w:pStyle w:val="TOC2"/>
        <w:rPr>
          <w:rFonts w:eastAsiaTheme="minorEastAsia" w:cstheme="minorBidi"/>
          <w:color w:val="auto"/>
          <w:kern w:val="0"/>
          <w:lang w:eastAsia="en-US"/>
        </w:rPr>
      </w:pPr>
      <w:hyperlink w:anchor="_Toc309835312" w:history="1">
        <w:r w:rsidR="00AD4B80" w:rsidRPr="00AD4B80">
          <w:rPr>
            <w:rStyle w:val="Hyperlink"/>
          </w:rPr>
          <w:t>5.5</w:t>
        </w:r>
        <w:r w:rsidR="00AD4B80" w:rsidRPr="00AD4B80">
          <w:rPr>
            <w:rFonts w:eastAsiaTheme="minorEastAsia" w:cstheme="minorBidi"/>
            <w:color w:val="auto"/>
            <w:kern w:val="0"/>
            <w:lang w:eastAsia="en-US"/>
          </w:rPr>
          <w:tab/>
        </w:r>
        <w:r w:rsidR="00AD4B80" w:rsidRPr="00AD4B80">
          <w:rPr>
            <w:rStyle w:val="Hyperlink"/>
          </w:rPr>
          <w:t>Follow-up Genotoxicity Testing in Relation to Tumor Findings in a Carcinogenicity Bioassay</w:t>
        </w:r>
        <w:r w:rsidR="00AD4B80" w:rsidRPr="00AD4B80">
          <w:rPr>
            <w:webHidden/>
          </w:rPr>
          <w:tab/>
        </w:r>
        <w:r w:rsidRPr="00AD4B80">
          <w:rPr>
            <w:webHidden/>
          </w:rPr>
          <w:fldChar w:fldCharType="begin"/>
        </w:r>
        <w:r w:rsidR="00AD4B80" w:rsidRPr="00AD4B80">
          <w:rPr>
            <w:webHidden/>
          </w:rPr>
          <w:instrText xml:space="preserve"> PAGEREF _Toc309835312 \h </w:instrText>
        </w:r>
        <w:r w:rsidRPr="00AD4B80">
          <w:rPr>
            <w:webHidden/>
          </w:rPr>
        </w:r>
        <w:r w:rsidRPr="00AD4B80">
          <w:rPr>
            <w:webHidden/>
          </w:rPr>
          <w:fldChar w:fldCharType="separate"/>
        </w:r>
        <w:r w:rsidR="002F432B">
          <w:rPr>
            <w:webHidden/>
          </w:rPr>
          <w:t>14</w:t>
        </w:r>
        <w:r w:rsidRPr="00AD4B80">
          <w:rPr>
            <w:webHidden/>
          </w:rPr>
          <w:fldChar w:fldCharType="end"/>
        </w:r>
      </w:hyperlink>
    </w:p>
    <w:p w:rsidR="00AD4B80" w:rsidRPr="00AD4B80" w:rsidRDefault="00800FBA" w:rsidP="00AD4B80">
      <w:pPr>
        <w:pStyle w:val="TOC1"/>
        <w:rPr>
          <w:rFonts w:eastAsiaTheme="minorEastAsia" w:cstheme="minorBidi"/>
          <w:color w:val="auto"/>
          <w:kern w:val="0"/>
          <w:lang w:eastAsia="en-US"/>
        </w:rPr>
      </w:pPr>
      <w:hyperlink w:anchor="_Toc309835313" w:history="1">
        <w:r w:rsidR="00AD4B80" w:rsidRPr="00AD4B80">
          <w:rPr>
            <w:rStyle w:val="Hyperlink"/>
            <w:smallCaps/>
          </w:rPr>
          <w:t>6.</w:t>
        </w:r>
        <w:r w:rsidR="00AD4B80" w:rsidRPr="00AD4B80">
          <w:rPr>
            <w:rFonts w:eastAsiaTheme="minorEastAsia" w:cstheme="minorBidi"/>
            <w:color w:val="auto"/>
            <w:kern w:val="0"/>
            <w:lang w:eastAsia="en-US"/>
          </w:rPr>
          <w:tab/>
        </w:r>
        <w:r w:rsidR="00AD4B80" w:rsidRPr="00AD4B80">
          <w:rPr>
            <w:rStyle w:val="Hyperlink"/>
            <w:smallCaps/>
          </w:rPr>
          <w:t>Notes</w:t>
        </w:r>
        <w:r w:rsidR="00AD4B80" w:rsidRPr="00AD4B80">
          <w:rPr>
            <w:webHidden/>
          </w:rPr>
          <w:tab/>
        </w:r>
        <w:r w:rsidRPr="00AD4B80">
          <w:rPr>
            <w:webHidden/>
          </w:rPr>
          <w:fldChar w:fldCharType="begin"/>
        </w:r>
        <w:r w:rsidR="00AD4B80" w:rsidRPr="00AD4B80">
          <w:rPr>
            <w:webHidden/>
          </w:rPr>
          <w:instrText xml:space="preserve"> PAGEREF _Toc309835313 \h </w:instrText>
        </w:r>
        <w:r w:rsidRPr="00AD4B80">
          <w:rPr>
            <w:webHidden/>
          </w:rPr>
        </w:r>
        <w:r w:rsidRPr="00AD4B80">
          <w:rPr>
            <w:webHidden/>
          </w:rPr>
          <w:fldChar w:fldCharType="separate"/>
        </w:r>
        <w:r w:rsidR="002F432B">
          <w:rPr>
            <w:webHidden/>
          </w:rPr>
          <w:t>15</w:t>
        </w:r>
        <w:r w:rsidRPr="00AD4B80">
          <w:rPr>
            <w:webHidden/>
          </w:rPr>
          <w:fldChar w:fldCharType="end"/>
        </w:r>
      </w:hyperlink>
    </w:p>
    <w:p w:rsidR="00AD4B80" w:rsidRPr="00AD4B80" w:rsidRDefault="00800FBA" w:rsidP="00AD4B80">
      <w:pPr>
        <w:pStyle w:val="TOC1"/>
        <w:rPr>
          <w:rFonts w:eastAsiaTheme="minorEastAsia" w:cstheme="minorBidi"/>
          <w:color w:val="auto"/>
          <w:kern w:val="0"/>
          <w:lang w:eastAsia="en-US"/>
        </w:rPr>
      </w:pPr>
      <w:hyperlink w:anchor="_Toc309835314" w:history="1">
        <w:r w:rsidR="00AD4B80" w:rsidRPr="00AD4B80">
          <w:rPr>
            <w:rStyle w:val="Hyperlink"/>
            <w:smallCaps/>
          </w:rPr>
          <w:t>7.</w:t>
        </w:r>
        <w:r w:rsidR="00AD4B80" w:rsidRPr="00AD4B80">
          <w:rPr>
            <w:rFonts w:eastAsiaTheme="minorEastAsia" w:cstheme="minorBidi"/>
            <w:color w:val="auto"/>
            <w:kern w:val="0"/>
            <w:lang w:eastAsia="en-US"/>
          </w:rPr>
          <w:tab/>
        </w:r>
        <w:r w:rsidR="00AD4B80" w:rsidRPr="00AD4B80">
          <w:rPr>
            <w:rStyle w:val="Hyperlink"/>
            <w:smallCaps/>
          </w:rPr>
          <w:t>Glossary</w:t>
        </w:r>
        <w:r w:rsidR="00AD4B80" w:rsidRPr="00AD4B80">
          <w:rPr>
            <w:webHidden/>
          </w:rPr>
          <w:tab/>
        </w:r>
        <w:r w:rsidRPr="00AD4B80">
          <w:rPr>
            <w:webHidden/>
          </w:rPr>
          <w:fldChar w:fldCharType="begin"/>
        </w:r>
        <w:r w:rsidR="00AD4B80" w:rsidRPr="00AD4B80">
          <w:rPr>
            <w:webHidden/>
          </w:rPr>
          <w:instrText xml:space="preserve"> PAGEREF _Toc309835314 \h </w:instrText>
        </w:r>
        <w:r w:rsidRPr="00AD4B80">
          <w:rPr>
            <w:webHidden/>
          </w:rPr>
        </w:r>
        <w:r w:rsidRPr="00AD4B80">
          <w:rPr>
            <w:webHidden/>
          </w:rPr>
          <w:fldChar w:fldCharType="separate"/>
        </w:r>
        <w:r w:rsidR="002F432B">
          <w:rPr>
            <w:webHidden/>
          </w:rPr>
          <w:t>20</w:t>
        </w:r>
        <w:r w:rsidRPr="00AD4B80">
          <w:rPr>
            <w:webHidden/>
          </w:rPr>
          <w:fldChar w:fldCharType="end"/>
        </w:r>
      </w:hyperlink>
    </w:p>
    <w:p w:rsidR="00AD4B80" w:rsidRPr="00AD4B80" w:rsidRDefault="00800FBA" w:rsidP="00AD4B80">
      <w:pPr>
        <w:pStyle w:val="TOC1"/>
        <w:rPr>
          <w:rFonts w:eastAsiaTheme="minorEastAsia" w:cstheme="minorBidi"/>
          <w:color w:val="auto"/>
          <w:kern w:val="0"/>
          <w:lang w:eastAsia="en-US"/>
        </w:rPr>
      </w:pPr>
      <w:hyperlink w:anchor="_Toc309835315" w:history="1">
        <w:r w:rsidR="00AD4B80" w:rsidRPr="00AD4B80">
          <w:rPr>
            <w:rStyle w:val="Hyperlink"/>
            <w:smallCaps/>
          </w:rPr>
          <w:t>8.</w:t>
        </w:r>
        <w:r w:rsidR="00AD4B80" w:rsidRPr="00AD4B80">
          <w:rPr>
            <w:rFonts w:eastAsiaTheme="minorEastAsia" w:cstheme="minorBidi"/>
            <w:color w:val="auto"/>
            <w:kern w:val="0"/>
            <w:lang w:eastAsia="en-US"/>
          </w:rPr>
          <w:tab/>
        </w:r>
        <w:r w:rsidR="00AD4B80" w:rsidRPr="00AD4B80">
          <w:rPr>
            <w:rStyle w:val="Hyperlink"/>
            <w:smallCaps/>
          </w:rPr>
          <w:t>References</w:t>
        </w:r>
        <w:r w:rsidR="00AD4B80" w:rsidRPr="00AD4B80">
          <w:rPr>
            <w:webHidden/>
          </w:rPr>
          <w:tab/>
        </w:r>
        <w:r w:rsidRPr="00AD4B80">
          <w:rPr>
            <w:webHidden/>
          </w:rPr>
          <w:fldChar w:fldCharType="begin"/>
        </w:r>
        <w:r w:rsidR="00AD4B80" w:rsidRPr="00AD4B80">
          <w:rPr>
            <w:webHidden/>
          </w:rPr>
          <w:instrText xml:space="preserve"> PAGEREF _Toc309835315 \h </w:instrText>
        </w:r>
        <w:r w:rsidRPr="00AD4B80">
          <w:rPr>
            <w:webHidden/>
          </w:rPr>
        </w:r>
        <w:r w:rsidRPr="00AD4B80">
          <w:rPr>
            <w:webHidden/>
          </w:rPr>
          <w:fldChar w:fldCharType="separate"/>
        </w:r>
        <w:r w:rsidR="002F432B">
          <w:rPr>
            <w:webHidden/>
          </w:rPr>
          <w:t>23</w:t>
        </w:r>
        <w:r w:rsidRPr="00AD4B80">
          <w:rPr>
            <w:webHidden/>
          </w:rPr>
          <w:fldChar w:fldCharType="end"/>
        </w:r>
      </w:hyperlink>
    </w:p>
    <w:p w:rsidR="00A233D0" w:rsidRPr="00A233D0" w:rsidRDefault="00800FBA" w:rsidP="00967C1A">
      <w:pPr>
        <w:tabs>
          <w:tab w:val="right" w:leader="dot" w:pos="9360"/>
        </w:tabs>
        <w:autoSpaceDE w:val="0"/>
        <w:autoSpaceDN w:val="0"/>
        <w:adjustRightInd w:val="0"/>
        <w:spacing w:after="120"/>
        <w:ind w:right="-6"/>
        <w:jc w:val="center"/>
        <w:textAlignment w:val="bottom"/>
        <w:rPr>
          <w:rFonts w:ascii="Century Schoolbook" w:hAnsi="Century Schoolbook"/>
          <w:b/>
          <w:kern w:val="0"/>
          <w:sz w:val="22"/>
          <w:szCs w:val="22"/>
        </w:rPr>
      </w:pPr>
      <w:r w:rsidRPr="00AD4B80">
        <w:rPr>
          <w:rFonts w:ascii="Century Schoolbook" w:hAnsi="Century Schoolbook"/>
          <w:bCs/>
          <w:kern w:val="0"/>
          <w:sz w:val="22"/>
          <w:szCs w:val="22"/>
        </w:rPr>
        <w:fldChar w:fldCharType="end"/>
      </w:r>
    </w:p>
    <w:p w:rsidR="00A233D0" w:rsidRDefault="00A233D0">
      <w:pPr>
        <w:autoSpaceDE w:val="0"/>
        <w:autoSpaceDN w:val="0"/>
        <w:adjustRightInd w:val="0"/>
        <w:spacing w:line="360" w:lineRule="auto"/>
        <w:jc w:val="center"/>
        <w:textAlignment w:val="bottom"/>
        <w:rPr>
          <w:rFonts w:ascii="Century Schoolbook" w:hAnsi="Century Schoolbook"/>
          <w:b/>
          <w:kern w:val="0"/>
          <w:sz w:val="22"/>
          <w:szCs w:val="22"/>
        </w:rPr>
      </w:pPr>
    </w:p>
    <w:p w:rsidR="001D26BE" w:rsidRDefault="001D26BE">
      <w:pPr>
        <w:tabs>
          <w:tab w:val="right" w:leader="middleDot" w:pos="8400"/>
        </w:tabs>
        <w:autoSpaceDE w:val="0"/>
        <w:autoSpaceDN w:val="0"/>
        <w:adjustRightInd w:val="0"/>
        <w:spacing w:line="360" w:lineRule="auto"/>
        <w:jc w:val="center"/>
        <w:textAlignment w:val="bottom"/>
        <w:rPr>
          <w:rFonts w:ascii="Century Schoolbook" w:hAnsi="Century Schoolbook"/>
          <w:kern w:val="0"/>
          <w:sz w:val="40"/>
          <w:szCs w:val="40"/>
        </w:rPr>
      </w:pPr>
    </w:p>
    <w:p w:rsidR="00A233D0" w:rsidRPr="000C2BE9" w:rsidRDefault="00A233D0">
      <w:pPr>
        <w:tabs>
          <w:tab w:val="right" w:leader="middleDot" w:pos="8400"/>
        </w:tabs>
        <w:autoSpaceDE w:val="0"/>
        <w:autoSpaceDN w:val="0"/>
        <w:adjustRightInd w:val="0"/>
        <w:spacing w:line="360" w:lineRule="auto"/>
        <w:jc w:val="center"/>
        <w:textAlignment w:val="bottom"/>
        <w:rPr>
          <w:rFonts w:ascii="Century Schoolbook" w:hAnsi="Century Schoolbook"/>
          <w:kern w:val="0"/>
          <w:sz w:val="40"/>
          <w:szCs w:val="40"/>
        </w:rPr>
        <w:sectPr w:rsidR="00A233D0" w:rsidRPr="000C2BE9" w:rsidSect="00E52DB4">
          <w:footerReference w:type="even" r:id="rId10"/>
          <w:footerReference w:type="first" r:id="rId11"/>
          <w:pgSz w:w="11906" w:h="16838" w:code="9"/>
          <w:pgMar w:top="1411" w:right="1411" w:bottom="1411" w:left="1411" w:header="850" w:footer="994" w:gutter="0"/>
          <w:pgNumType w:fmt="lowerRoman" w:start="1"/>
          <w:cols w:space="425"/>
          <w:titlePg/>
          <w:docGrid w:linePitch="360"/>
        </w:sectPr>
      </w:pPr>
    </w:p>
    <w:p w:rsidR="00BC2244" w:rsidRDefault="00BC2244" w:rsidP="00BC2244">
      <w:pPr>
        <w:pStyle w:val="hd"/>
      </w:pPr>
      <w:r>
        <w:lastRenderedPageBreak/>
        <w:t xml:space="preserve">Guidance on </w:t>
      </w:r>
      <w:proofErr w:type="spellStart"/>
      <w:r>
        <w:t>Genotoxicity</w:t>
      </w:r>
      <w:proofErr w:type="spellEnd"/>
      <w:r>
        <w:t xml:space="preserve"> Testing and </w:t>
      </w:r>
      <w:r>
        <w:br/>
        <w:t>Data Interpretation for Pharmaceuticals Intended for Human Use</w:t>
      </w:r>
    </w:p>
    <w:p w:rsidR="00BC5F38" w:rsidRPr="00BC5F38" w:rsidRDefault="00BC5F38" w:rsidP="00BC5F38">
      <w:pPr>
        <w:autoSpaceDE w:val="0"/>
        <w:autoSpaceDN w:val="0"/>
        <w:adjustRightInd w:val="0"/>
        <w:spacing w:line="360" w:lineRule="auto"/>
        <w:jc w:val="center"/>
        <w:textAlignment w:val="bottom"/>
        <w:rPr>
          <w:rFonts w:ascii="Century Schoolbook" w:hAnsi="Century Schoolbook"/>
          <w:b/>
          <w:bCs/>
          <w:caps/>
          <w:kern w:val="0"/>
        </w:rPr>
      </w:pPr>
    </w:p>
    <w:p w:rsidR="00386223" w:rsidRDefault="000B3C1E" w:rsidP="00386223">
      <w:pPr>
        <w:pStyle w:val="Heading1"/>
        <w:numPr>
          <w:ilvl w:val="0"/>
          <w:numId w:val="23"/>
        </w:numPr>
        <w:tabs>
          <w:tab w:val="left" w:pos="720"/>
        </w:tabs>
        <w:spacing w:after="120"/>
        <w:ind w:hanging="720"/>
        <w:rPr>
          <w:rFonts w:ascii="Century Schoolbook" w:hAnsi="Century Schoolbook"/>
          <w:smallCaps/>
          <w:kern w:val="0"/>
          <w:sz w:val="22"/>
          <w:szCs w:val="22"/>
        </w:rPr>
      </w:pPr>
      <w:bookmarkStart w:id="0" w:name="_Toc309742166"/>
      <w:bookmarkStart w:id="1" w:name="_Toc309835264"/>
      <w:r w:rsidRPr="0078046D">
        <w:rPr>
          <w:rFonts w:ascii="Century Schoolbook" w:hAnsi="Century Schoolbook"/>
          <w:smallCaps/>
          <w:kern w:val="0"/>
          <w:sz w:val="22"/>
          <w:szCs w:val="22"/>
        </w:rPr>
        <w:t>Introduction</w:t>
      </w:r>
      <w:bookmarkEnd w:id="0"/>
      <w:bookmarkEnd w:id="1"/>
    </w:p>
    <w:p w:rsidR="001D26BE" w:rsidRPr="00386223" w:rsidRDefault="001D26BE" w:rsidP="00386223">
      <w:pPr>
        <w:pStyle w:val="Heading1"/>
        <w:numPr>
          <w:ilvl w:val="1"/>
          <w:numId w:val="23"/>
        </w:numPr>
        <w:tabs>
          <w:tab w:val="left" w:pos="720"/>
        </w:tabs>
        <w:spacing w:before="180" w:after="120"/>
        <w:ind w:left="720" w:hanging="720"/>
        <w:rPr>
          <w:rFonts w:ascii="Century Schoolbook" w:hAnsi="Century Schoolbook"/>
          <w:smallCaps/>
          <w:kern w:val="0"/>
          <w:sz w:val="22"/>
          <w:szCs w:val="22"/>
        </w:rPr>
      </w:pPr>
      <w:bookmarkStart w:id="2" w:name="_Toc309742167"/>
      <w:bookmarkStart w:id="3" w:name="_Toc309835265"/>
      <w:r w:rsidRPr="00386223">
        <w:rPr>
          <w:rFonts w:ascii="Century Schoolbook" w:hAnsi="Century Schoolbook"/>
          <w:kern w:val="0"/>
          <w:sz w:val="22"/>
          <w:szCs w:val="22"/>
        </w:rPr>
        <w:t>Objectives of the Guideline</w:t>
      </w:r>
      <w:bookmarkEnd w:id="2"/>
      <w:bookmarkEnd w:id="3"/>
    </w:p>
    <w:p w:rsidR="001D26BE" w:rsidRPr="00C9399A" w:rsidRDefault="001D26BE" w:rsidP="004A62F4">
      <w:pPr>
        <w:spacing w:after="120"/>
        <w:rPr>
          <w:rFonts w:ascii="Century Schoolbook" w:hAnsi="Century Schoolbook"/>
          <w:sz w:val="22"/>
          <w:szCs w:val="22"/>
          <w:lang w:val="en-GB"/>
        </w:rPr>
      </w:pPr>
      <w:r w:rsidRPr="00C9399A">
        <w:rPr>
          <w:rFonts w:ascii="Century Schoolbook" w:hAnsi="Century Schoolbook"/>
          <w:kern w:val="0"/>
          <w:sz w:val="22"/>
          <w:szCs w:val="22"/>
        </w:rPr>
        <w:t xml:space="preserve">This guidance replaces and combines the ICH S2A and S2B </w:t>
      </w:r>
      <w:r w:rsidR="00292104">
        <w:rPr>
          <w:rFonts w:ascii="Century Schoolbook" w:hAnsi="Century Schoolbook"/>
          <w:kern w:val="0"/>
          <w:sz w:val="22"/>
          <w:szCs w:val="22"/>
        </w:rPr>
        <w:t>G</w:t>
      </w:r>
      <w:r w:rsidRPr="00C9399A">
        <w:rPr>
          <w:rFonts w:ascii="Century Schoolbook" w:hAnsi="Century Schoolbook"/>
          <w:kern w:val="0"/>
          <w:sz w:val="22"/>
          <w:szCs w:val="22"/>
        </w:rPr>
        <w:t xml:space="preserve">uidelines.  </w:t>
      </w:r>
      <w:r w:rsidRPr="00C9399A">
        <w:rPr>
          <w:rFonts w:ascii="Century Schoolbook" w:hAnsi="Century Schoolbook"/>
          <w:sz w:val="22"/>
          <w:szCs w:val="22"/>
          <w:lang w:val="en-GB"/>
        </w:rPr>
        <w:t xml:space="preserve">The purpose of the revision is to </w:t>
      </w:r>
      <w:proofErr w:type="spellStart"/>
      <w:r w:rsidRPr="00C9399A">
        <w:rPr>
          <w:rFonts w:ascii="Century Schoolbook" w:hAnsi="Century Schoolbook"/>
          <w:sz w:val="22"/>
          <w:szCs w:val="22"/>
          <w:lang w:val="en-GB"/>
        </w:rPr>
        <w:t>optimize</w:t>
      </w:r>
      <w:proofErr w:type="spellEnd"/>
      <w:r w:rsidRPr="00C9399A">
        <w:rPr>
          <w:rFonts w:ascii="Century Schoolbook" w:hAnsi="Century Schoolbook"/>
          <w:sz w:val="22"/>
          <w:szCs w:val="22"/>
          <w:lang w:val="en-GB"/>
        </w:rPr>
        <w:t xml:space="preserve"> the standard genetic toxicology battery for prediction of potential human risks, and to provide guidance on interpretation of results, with the ultimate goal of improving risk characterization for carcinogenic effects that have their basis in changes in the genetic material.  The revised guidance describes internationally agreed upon standards for follow-up testing and interpretation of positive results </w:t>
      </w:r>
      <w:r w:rsidRPr="00C9399A">
        <w:rPr>
          <w:rFonts w:ascii="Century Schoolbook" w:hAnsi="Century Schoolbook"/>
          <w:i/>
          <w:iCs/>
          <w:sz w:val="22"/>
          <w:szCs w:val="22"/>
          <w:lang w:val="en-GB"/>
        </w:rPr>
        <w:t>in vitro</w:t>
      </w:r>
      <w:r w:rsidRPr="00C9399A">
        <w:rPr>
          <w:rFonts w:ascii="Century Schoolbook" w:hAnsi="Century Schoolbook"/>
          <w:sz w:val="22"/>
          <w:szCs w:val="22"/>
          <w:lang w:val="en-GB"/>
        </w:rPr>
        <w:t xml:space="preserve"> and </w:t>
      </w:r>
      <w:r w:rsidRPr="00C9399A">
        <w:rPr>
          <w:rFonts w:ascii="Century Schoolbook" w:hAnsi="Century Schoolbook"/>
          <w:i/>
          <w:sz w:val="22"/>
          <w:szCs w:val="22"/>
          <w:lang w:val="en-GB"/>
        </w:rPr>
        <w:t>in vivo</w:t>
      </w:r>
      <w:r w:rsidRPr="00C9399A">
        <w:rPr>
          <w:rFonts w:ascii="Century Schoolbook" w:hAnsi="Century Schoolbook"/>
          <w:sz w:val="22"/>
          <w:szCs w:val="22"/>
          <w:lang w:val="en-GB"/>
        </w:rPr>
        <w:t xml:space="preserve"> in the standard genetic toxicology battery, including assessment of non-relevant findings.</w:t>
      </w:r>
      <w:bookmarkStart w:id="4" w:name="OLE_LINK1"/>
      <w:bookmarkStart w:id="5" w:name="OLE_LINK2"/>
      <w:r w:rsidRPr="00C9399A">
        <w:rPr>
          <w:rFonts w:ascii="Century Schoolbook" w:hAnsi="Century Schoolbook"/>
          <w:sz w:val="22"/>
          <w:szCs w:val="22"/>
          <w:lang w:val="en-GB"/>
        </w:rPr>
        <w:t xml:space="preserve"> This guidance is intended to apply only to products being developed as human pharmaceuticals.</w:t>
      </w:r>
    </w:p>
    <w:p w:rsidR="001D26BE" w:rsidRPr="0078046D" w:rsidRDefault="001D26BE" w:rsidP="00386223">
      <w:pPr>
        <w:pStyle w:val="Heading2"/>
        <w:numPr>
          <w:ilvl w:val="1"/>
          <w:numId w:val="28"/>
        </w:numPr>
        <w:tabs>
          <w:tab w:val="left" w:pos="720"/>
        </w:tabs>
        <w:spacing w:before="180" w:after="120"/>
        <w:rPr>
          <w:rFonts w:ascii="Century Schoolbook" w:hAnsi="Century Schoolbook"/>
          <w:i w:val="0"/>
          <w:kern w:val="0"/>
          <w:sz w:val="22"/>
          <w:szCs w:val="22"/>
        </w:rPr>
      </w:pPr>
      <w:bookmarkStart w:id="6" w:name="_Toc309742168"/>
      <w:bookmarkStart w:id="7" w:name="_Toc309835266"/>
      <w:r w:rsidRPr="0078046D">
        <w:rPr>
          <w:rFonts w:ascii="Century Schoolbook" w:hAnsi="Century Schoolbook"/>
          <w:i w:val="0"/>
          <w:kern w:val="0"/>
          <w:sz w:val="22"/>
          <w:szCs w:val="22"/>
        </w:rPr>
        <w:t>Background</w:t>
      </w:r>
      <w:bookmarkEnd w:id="6"/>
      <w:bookmarkEnd w:id="7"/>
    </w:p>
    <w:bookmarkEnd w:id="4"/>
    <w:bookmarkEnd w:id="5"/>
    <w:p w:rsidR="001D26BE" w:rsidRPr="00C9399A" w:rsidRDefault="001D26BE" w:rsidP="00E44012">
      <w:pPr>
        <w:autoSpaceDE w:val="0"/>
        <w:autoSpaceDN w:val="0"/>
        <w:adjustRightInd w:val="0"/>
        <w:spacing w:after="120"/>
        <w:textAlignment w:val="bottom"/>
        <w:rPr>
          <w:rFonts w:ascii="Century Schoolbook" w:hAnsi="Century Schoolbook"/>
          <w:kern w:val="0"/>
          <w:sz w:val="22"/>
          <w:szCs w:val="22"/>
        </w:rPr>
      </w:pPr>
      <w:r w:rsidRPr="00C9399A">
        <w:rPr>
          <w:rFonts w:ascii="Century Schoolbook" w:hAnsi="Century Schoolbook"/>
          <w:kern w:val="0"/>
          <w:sz w:val="22"/>
          <w:szCs w:val="22"/>
        </w:rPr>
        <w:t xml:space="preserve">The recommendations from the latest Organization for Economic Co-operation and Development (OECD) guidelines and the reports from the International Workshops on </w:t>
      </w:r>
      <w:proofErr w:type="spellStart"/>
      <w:r w:rsidRPr="00C9399A">
        <w:rPr>
          <w:rFonts w:ascii="Century Schoolbook" w:hAnsi="Century Schoolbook"/>
          <w:kern w:val="0"/>
          <w:sz w:val="22"/>
          <w:szCs w:val="22"/>
        </w:rPr>
        <w:t>Genotoxicity</w:t>
      </w:r>
      <w:proofErr w:type="spellEnd"/>
      <w:r w:rsidRPr="00C9399A">
        <w:rPr>
          <w:rFonts w:ascii="Century Schoolbook" w:hAnsi="Century Schoolbook"/>
          <w:kern w:val="0"/>
          <w:sz w:val="22"/>
          <w:szCs w:val="22"/>
        </w:rPr>
        <w:t xml:space="preserve"> Testing (IWGT) have been considered where relevant.  In certain cases, there are differences from the OECD or IWGT recommendations, which are noted in the text. The following notes for guidance should be applied in conjunction with other ICH </w:t>
      </w:r>
      <w:proofErr w:type="spellStart"/>
      <w:r w:rsidRPr="00C9399A">
        <w:rPr>
          <w:rFonts w:ascii="Century Schoolbook" w:hAnsi="Century Schoolbook"/>
          <w:kern w:val="0"/>
          <w:sz w:val="22"/>
          <w:szCs w:val="22"/>
        </w:rPr>
        <w:t>guidances</w:t>
      </w:r>
      <w:proofErr w:type="spellEnd"/>
      <w:r w:rsidRPr="00C9399A">
        <w:rPr>
          <w:rFonts w:ascii="Century Schoolbook" w:hAnsi="Century Schoolbook"/>
          <w:kern w:val="0"/>
          <w:sz w:val="22"/>
          <w:szCs w:val="22"/>
        </w:rPr>
        <w:t>.</w:t>
      </w:r>
    </w:p>
    <w:p w:rsidR="001D26BE" w:rsidRPr="0078046D" w:rsidRDefault="001D26BE" w:rsidP="00386223">
      <w:pPr>
        <w:pStyle w:val="Heading2"/>
        <w:numPr>
          <w:ilvl w:val="1"/>
          <w:numId w:val="28"/>
        </w:numPr>
        <w:spacing w:before="180" w:after="120"/>
        <w:rPr>
          <w:rFonts w:ascii="Century Schoolbook" w:hAnsi="Century Schoolbook"/>
          <w:i w:val="0"/>
          <w:kern w:val="0"/>
          <w:sz w:val="22"/>
          <w:szCs w:val="22"/>
        </w:rPr>
      </w:pPr>
      <w:bookmarkStart w:id="8" w:name="_Toc309742169"/>
      <w:bookmarkStart w:id="9" w:name="_Toc309835267"/>
      <w:r w:rsidRPr="0078046D">
        <w:rPr>
          <w:rFonts w:ascii="Century Schoolbook" w:hAnsi="Century Schoolbook"/>
          <w:i w:val="0"/>
          <w:kern w:val="0"/>
          <w:sz w:val="22"/>
          <w:szCs w:val="22"/>
        </w:rPr>
        <w:t>Scope of the Guideline</w:t>
      </w:r>
      <w:bookmarkEnd w:id="8"/>
      <w:bookmarkEnd w:id="9"/>
    </w:p>
    <w:p w:rsidR="001D26BE" w:rsidRPr="00C9399A" w:rsidRDefault="001D26BE" w:rsidP="00E44012">
      <w:pPr>
        <w:autoSpaceDE w:val="0"/>
        <w:autoSpaceDN w:val="0"/>
        <w:adjustRightInd w:val="0"/>
        <w:spacing w:after="120"/>
        <w:textAlignment w:val="bottom"/>
        <w:rPr>
          <w:rFonts w:ascii="Century Schoolbook" w:hAnsi="Century Schoolbook"/>
          <w:sz w:val="22"/>
          <w:szCs w:val="22"/>
          <w:lang w:val="en-GB"/>
        </w:rPr>
      </w:pPr>
      <w:r w:rsidRPr="00C9399A">
        <w:rPr>
          <w:rFonts w:ascii="Century Schoolbook" w:hAnsi="Century Schoolbook"/>
          <w:sz w:val="22"/>
          <w:szCs w:val="22"/>
          <w:lang w:val="en-GB"/>
        </w:rPr>
        <w:t>The focus of this guidance is testing of new “small molecule” drug substances, and the guidance does not apply to biologics. Advice on the timing of the studies relative to clinical development is provided in the ICH M3 (R2) guidance.</w:t>
      </w:r>
    </w:p>
    <w:p w:rsidR="001D26BE" w:rsidRPr="0078046D" w:rsidRDefault="001D26BE" w:rsidP="00386223">
      <w:pPr>
        <w:pStyle w:val="Heading2"/>
        <w:numPr>
          <w:ilvl w:val="1"/>
          <w:numId w:val="33"/>
        </w:numPr>
        <w:spacing w:before="180" w:after="120"/>
        <w:rPr>
          <w:rFonts w:ascii="Century Schoolbook" w:hAnsi="Century Schoolbook"/>
          <w:i w:val="0"/>
          <w:kern w:val="0"/>
          <w:sz w:val="22"/>
          <w:szCs w:val="22"/>
        </w:rPr>
      </w:pPr>
      <w:bookmarkStart w:id="10" w:name="_Toc309742170"/>
      <w:bookmarkStart w:id="11" w:name="_Toc309835268"/>
      <w:r w:rsidRPr="0078046D">
        <w:rPr>
          <w:rFonts w:ascii="Century Schoolbook" w:hAnsi="Century Schoolbook"/>
          <w:i w:val="0"/>
          <w:kern w:val="0"/>
          <w:sz w:val="22"/>
          <w:szCs w:val="22"/>
        </w:rPr>
        <w:t>General Principles</w:t>
      </w:r>
      <w:bookmarkEnd w:id="10"/>
      <w:bookmarkEnd w:id="11"/>
    </w:p>
    <w:p w:rsidR="001D26BE" w:rsidRPr="00C9399A" w:rsidRDefault="001D26BE" w:rsidP="004A62F4">
      <w:pPr>
        <w:autoSpaceDE w:val="0"/>
        <w:autoSpaceDN w:val="0"/>
        <w:adjustRightInd w:val="0"/>
        <w:spacing w:after="120"/>
        <w:textAlignment w:val="bottom"/>
        <w:rPr>
          <w:rFonts w:ascii="Century Schoolbook" w:hAnsi="Century Schoolbook"/>
          <w:kern w:val="0"/>
          <w:sz w:val="22"/>
          <w:szCs w:val="22"/>
        </w:rPr>
      </w:pPr>
      <w:proofErr w:type="spellStart"/>
      <w:r w:rsidRPr="00C9399A">
        <w:rPr>
          <w:rFonts w:ascii="Century Schoolbook" w:hAnsi="Century Schoolbook"/>
          <w:kern w:val="0"/>
          <w:sz w:val="22"/>
          <w:szCs w:val="22"/>
        </w:rPr>
        <w:t>Genotoxicity</w:t>
      </w:r>
      <w:proofErr w:type="spellEnd"/>
      <w:r w:rsidRPr="00C9399A">
        <w:rPr>
          <w:rFonts w:ascii="Century Schoolbook" w:hAnsi="Century Schoolbook"/>
          <w:kern w:val="0"/>
          <w:sz w:val="22"/>
          <w:szCs w:val="22"/>
        </w:rPr>
        <w:t xml:space="preserve"> tests can be defined as </w:t>
      </w:r>
      <w:r w:rsidRPr="00C9399A">
        <w:rPr>
          <w:rFonts w:ascii="Century Schoolbook" w:hAnsi="Century Schoolbook"/>
          <w:i/>
          <w:iCs/>
          <w:kern w:val="0"/>
          <w:sz w:val="22"/>
          <w:szCs w:val="22"/>
        </w:rPr>
        <w:t xml:space="preserve">in vitro </w:t>
      </w:r>
      <w:r w:rsidRPr="00C9399A">
        <w:rPr>
          <w:rFonts w:ascii="Century Schoolbook" w:hAnsi="Century Schoolbook"/>
          <w:kern w:val="0"/>
          <w:sz w:val="22"/>
          <w:szCs w:val="22"/>
        </w:rPr>
        <w:t xml:space="preserve">and </w:t>
      </w:r>
      <w:r w:rsidRPr="00C9399A">
        <w:rPr>
          <w:rFonts w:ascii="Century Schoolbook" w:hAnsi="Century Schoolbook"/>
          <w:i/>
          <w:iCs/>
          <w:kern w:val="0"/>
          <w:sz w:val="22"/>
          <w:szCs w:val="22"/>
        </w:rPr>
        <w:t xml:space="preserve">in vivo </w:t>
      </w:r>
      <w:r w:rsidRPr="00C9399A">
        <w:rPr>
          <w:rFonts w:ascii="Century Schoolbook" w:hAnsi="Century Schoolbook"/>
          <w:kern w:val="0"/>
          <w:sz w:val="22"/>
          <w:szCs w:val="22"/>
        </w:rPr>
        <w:t xml:space="preserve">tests designed to detect compounds that induce genetic damage by various mechanisms.  These tests enable hazard identification with respect to damage to DNA and its fixation.  Fixation of damage to DNA in the form of gene mutations, larger scale chromosomal damage or recombination is generally considered to be essential for heritable effects and in the multi-step process of malignancy, a complex process in which genetic changes might possibly play only a part.  Numerical chromosome changes have also been associated with </w:t>
      </w:r>
      <w:proofErr w:type="spellStart"/>
      <w:r w:rsidRPr="00C9399A">
        <w:rPr>
          <w:rFonts w:ascii="Century Schoolbook" w:hAnsi="Century Schoolbook"/>
          <w:kern w:val="0"/>
          <w:sz w:val="22"/>
          <w:szCs w:val="22"/>
        </w:rPr>
        <w:t>tumorigenesis</w:t>
      </w:r>
      <w:proofErr w:type="spellEnd"/>
      <w:r w:rsidRPr="00C9399A">
        <w:rPr>
          <w:rFonts w:ascii="Century Schoolbook" w:hAnsi="Century Schoolbook"/>
          <w:kern w:val="0"/>
          <w:sz w:val="22"/>
          <w:szCs w:val="22"/>
        </w:rPr>
        <w:t xml:space="preserve"> and can indicate a potential for </w:t>
      </w:r>
      <w:proofErr w:type="spellStart"/>
      <w:r w:rsidRPr="00C9399A">
        <w:rPr>
          <w:rFonts w:ascii="Century Schoolbook" w:hAnsi="Century Schoolbook"/>
          <w:kern w:val="0"/>
          <w:sz w:val="22"/>
          <w:szCs w:val="22"/>
        </w:rPr>
        <w:t>aneuploidy</w:t>
      </w:r>
      <w:proofErr w:type="spellEnd"/>
      <w:r w:rsidRPr="00C9399A">
        <w:rPr>
          <w:rFonts w:ascii="Century Schoolbook" w:hAnsi="Century Schoolbook"/>
          <w:kern w:val="0"/>
          <w:sz w:val="22"/>
          <w:szCs w:val="22"/>
        </w:rPr>
        <w:t xml:space="preserve"> in germ cells.  Compounds that are positive in tests that detect such kinds of damage have the potential to be human carcinogens and/or mutagens.  Because the relationship between exposure to particular chemicals and carcinogenesis is established for humans, whilst a similar relationship has been difficult to prove for heritable diseases, </w:t>
      </w:r>
      <w:proofErr w:type="spellStart"/>
      <w:r w:rsidRPr="00C9399A">
        <w:rPr>
          <w:rFonts w:ascii="Century Schoolbook" w:hAnsi="Century Schoolbook"/>
          <w:kern w:val="0"/>
          <w:sz w:val="22"/>
          <w:szCs w:val="22"/>
        </w:rPr>
        <w:t>genotoxicity</w:t>
      </w:r>
      <w:proofErr w:type="spellEnd"/>
      <w:r w:rsidRPr="00C9399A">
        <w:rPr>
          <w:rFonts w:ascii="Century Schoolbook" w:hAnsi="Century Schoolbook"/>
          <w:kern w:val="0"/>
          <w:sz w:val="22"/>
          <w:szCs w:val="22"/>
        </w:rPr>
        <w:t xml:space="preserve"> tests have been used mainly for the prediction of carcinogenicity.  Nevertheless, because germ line mutations are clearly associated with human disease, the suspicion that a compound might induce heritable effects is considered to be just as serious as the suspicion that a compound might induce cancer.  In addition, the outcome of </w:t>
      </w:r>
      <w:proofErr w:type="spellStart"/>
      <w:r w:rsidRPr="00C9399A">
        <w:rPr>
          <w:rFonts w:ascii="Century Schoolbook" w:hAnsi="Century Schoolbook"/>
          <w:kern w:val="0"/>
          <w:sz w:val="22"/>
          <w:szCs w:val="22"/>
        </w:rPr>
        <w:t>genotoxicity</w:t>
      </w:r>
      <w:proofErr w:type="spellEnd"/>
      <w:r w:rsidRPr="00C9399A">
        <w:rPr>
          <w:rFonts w:ascii="Century Schoolbook" w:hAnsi="Century Schoolbook"/>
          <w:kern w:val="0"/>
          <w:sz w:val="22"/>
          <w:szCs w:val="22"/>
        </w:rPr>
        <w:t xml:space="preserve"> tests can be valuable for the interpretation of carcinogenicity studies.</w:t>
      </w:r>
    </w:p>
    <w:p w:rsidR="00386223" w:rsidRPr="00AA186A" w:rsidRDefault="000B3C1E" w:rsidP="00AA186A">
      <w:pPr>
        <w:pStyle w:val="Heading1"/>
        <w:numPr>
          <w:ilvl w:val="0"/>
          <w:numId w:val="33"/>
        </w:numPr>
        <w:spacing w:after="120"/>
        <w:rPr>
          <w:rFonts w:ascii="Century Schoolbook" w:hAnsi="Century Schoolbook"/>
          <w:smallCaps/>
          <w:kern w:val="0"/>
          <w:sz w:val="22"/>
          <w:szCs w:val="22"/>
        </w:rPr>
      </w:pPr>
      <w:bookmarkStart w:id="12" w:name="_Toc309742171"/>
      <w:bookmarkStart w:id="13" w:name="_Toc309835269"/>
      <w:r w:rsidRPr="0078046D">
        <w:rPr>
          <w:rFonts w:ascii="Century Schoolbook" w:hAnsi="Century Schoolbook"/>
          <w:smallCaps/>
          <w:kern w:val="0"/>
          <w:sz w:val="22"/>
          <w:szCs w:val="22"/>
        </w:rPr>
        <w:lastRenderedPageBreak/>
        <w:t xml:space="preserve">The Standard Test Battery </w:t>
      </w:r>
      <w:r w:rsidR="00610EED" w:rsidRPr="0078046D">
        <w:rPr>
          <w:rFonts w:ascii="Century Schoolbook" w:hAnsi="Century Schoolbook"/>
          <w:smallCaps/>
          <w:kern w:val="0"/>
          <w:sz w:val="22"/>
          <w:szCs w:val="22"/>
        </w:rPr>
        <w:t>f</w:t>
      </w:r>
      <w:r w:rsidRPr="0078046D">
        <w:rPr>
          <w:rFonts w:ascii="Century Schoolbook" w:hAnsi="Century Schoolbook"/>
          <w:smallCaps/>
          <w:kern w:val="0"/>
          <w:sz w:val="22"/>
          <w:szCs w:val="22"/>
        </w:rPr>
        <w:t xml:space="preserve">or </w:t>
      </w:r>
      <w:proofErr w:type="spellStart"/>
      <w:r w:rsidRPr="0078046D">
        <w:rPr>
          <w:rFonts w:ascii="Century Schoolbook" w:hAnsi="Century Schoolbook"/>
          <w:smallCaps/>
          <w:kern w:val="0"/>
          <w:sz w:val="22"/>
          <w:szCs w:val="22"/>
        </w:rPr>
        <w:t>Genotoxicity</w:t>
      </w:r>
      <w:bookmarkEnd w:id="12"/>
      <w:bookmarkEnd w:id="13"/>
      <w:proofErr w:type="spellEnd"/>
    </w:p>
    <w:p w:rsidR="001D26BE" w:rsidRPr="0078046D" w:rsidRDefault="00386223" w:rsidP="00AA186A">
      <w:pPr>
        <w:pStyle w:val="Heading2"/>
        <w:numPr>
          <w:ilvl w:val="1"/>
          <w:numId w:val="36"/>
        </w:numPr>
        <w:spacing w:before="180" w:after="120"/>
        <w:ind w:left="720" w:hanging="720"/>
        <w:rPr>
          <w:rFonts w:ascii="Century Schoolbook" w:hAnsi="Century Schoolbook"/>
          <w:bCs w:val="0"/>
          <w:i w:val="0"/>
          <w:kern w:val="0"/>
          <w:sz w:val="22"/>
          <w:szCs w:val="22"/>
        </w:rPr>
      </w:pPr>
      <w:bookmarkStart w:id="14" w:name="_Toc309742172"/>
      <w:bookmarkStart w:id="15" w:name="_Toc309835270"/>
      <w:r>
        <w:rPr>
          <w:rFonts w:ascii="Century Schoolbook" w:hAnsi="Century Schoolbook"/>
          <w:bCs w:val="0"/>
          <w:i w:val="0"/>
          <w:kern w:val="0"/>
          <w:sz w:val="22"/>
          <w:szCs w:val="22"/>
        </w:rPr>
        <w:t>R</w:t>
      </w:r>
      <w:r w:rsidR="001D26BE" w:rsidRPr="0078046D">
        <w:rPr>
          <w:rFonts w:ascii="Century Schoolbook" w:hAnsi="Century Schoolbook"/>
          <w:bCs w:val="0"/>
          <w:i w:val="0"/>
          <w:kern w:val="0"/>
          <w:sz w:val="22"/>
          <w:szCs w:val="22"/>
        </w:rPr>
        <w:t>ationale</w:t>
      </w:r>
      <w:bookmarkEnd w:id="14"/>
      <w:bookmarkEnd w:id="15"/>
    </w:p>
    <w:p w:rsidR="001D26BE" w:rsidRPr="00C9399A" w:rsidRDefault="001D26BE" w:rsidP="004A62F4">
      <w:pPr>
        <w:autoSpaceDE w:val="0"/>
        <w:autoSpaceDN w:val="0"/>
        <w:adjustRightInd w:val="0"/>
        <w:spacing w:after="120"/>
        <w:textAlignment w:val="bottom"/>
        <w:rPr>
          <w:rFonts w:ascii="Century Schoolbook" w:hAnsi="Century Schoolbook"/>
          <w:kern w:val="0"/>
          <w:sz w:val="22"/>
          <w:szCs w:val="22"/>
        </w:rPr>
      </w:pPr>
      <w:r w:rsidRPr="00C9399A">
        <w:rPr>
          <w:rFonts w:ascii="Century Schoolbook" w:hAnsi="Century Schoolbook"/>
          <w:kern w:val="0"/>
          <w:sz w:val="22"/>
          <w:szCs w:val="22"/>
        </w:rPr>
        <w:t xml:space="preserve">Registration of pharmaceuticals requires a comprehensive assessment of their </w:t>
      </w:r>
      <w:proofErr w:type="spellStart"/>
      <w:r w:rsidRPr="00C9399A">
        <w:rPr>
          <w:rFonts w:ascii="Century Schoolbook" w:hAnsi="Century Schoolbook"/>
          <w:kern w:val="0"/>
          <w:sz w:val="22"/>
          <w:szCs w:val="22"/>
        </w:rPr>
        <w:t>genotoxic</w:t>
      </w:r>
      <w:proofErr w:type="spellEnd"/>
      <w:r w:rsidRPr="00C9399A">
        <w:rPr>
          <w:rFonts w:ascii="Century Schoolbook" w:hAnsi="Century Schoolbook"/>
          <w:kern w:val="0"/>
          <w:sz w:val="22"/>
          <w:szCs w:val="22"/>
        </w:rPr>
        <w:t xml:space="preserve"> potential.  Extensive reviews have shown that many compounds that are mutagenic in the bacterial reverse mutation (Ames) test are rodent carcinogens.  Addition of </w:t>
      </w:r>
      <w:r w:rsidRPr="00C9399A">
        <w:rPr>
          <w:rFonts w:ascii="Century Schoolbook" w:hAnsi="Century Schoolbook"/>
          <w:i/>
          <w:kern w:val="0"/>
          <w:sz w:val="22"/>
          <w:szCs w:val="22"/>
        </w:rPr>
        <w:t>in vitro</w:t>
      </w:r>
      <w:r w:rsidRPr="00C9399A">
        <w:rPr>
          <w:rFonts w:ascii="Century Schoolbook" w:hAnsi="Century Schoolbook"/>
          <w:kern w:val="0"/>
          <w:sz w:val="22"/>
          <w:szCs w:val="22"/>
        </w:rPr>
        <w:t xml:space="preserve"> mammalian tests increases sensitivity for detection of rodent carcinogens and broadens the spectrum of genetic events detected, but also decreases the specificity of prediction; i.e., increases the incidence of positive results that do not correlate with rodent carcinogenicity.  Nevertheless, a battery approach is still reasonable because no single test is capable of detecting all </w:t>
      </w:r>
      <w:proofErr w:type="spellStart"/>
      <w:r w:rsidRPr="00C9399A">
        <w:rPr>
          <w:rFonts w:ascii="Century Schoolbook" w:hAnsi="Century Schoolbook"/>
          <w:kern w:val="0"/>
          <w:sz w:val="22"/>
          <w:szCs w:val="22"/>
        </w:rPr>
        <w:t>genotoxic</w:t>
      </w:r>
      <w:proofErr w:type="spellEnd"/>
      <w:r w:rsidRPr="00C9399A">
        <w:rPr>
          <w:rFonts w:ascii="Century Schoolbook" w:hAnsi="Century Schoolbook"/>
          <w:kern w:val="0"/>
          <w:sz w:val="22"/>
          <w:szCs w:val="22"/>
        </w:rPr>
        <w:t xml:space="preserve"> mechanisms relevant in </w:t>
      </w:r>
      <w:proofErr w:type="spellStart"/>
      <w:r w:rsidRPr="00C9399A">
        <w:rPr>
          <w:rFonts w:ascii="Century Schoolbook" w:hAnsi="Century Schoolbook"/>
          <w:kern w:val="0"/>
          <w:sz w:val="22"/>
          <w:szCs w:val="22"/>
        </w:rPr>
        <w:t>tumorigenesis</w:t>
      </w:r>
      <w:proofErr w:type="spellEnd"/>
      <w:r w:rsidRPr="00C9399A">
        <w:rPr>
          <w:rFonts w:ascii="Century Schoolbook" w:hAnsi="Century Schoolbook"/>
          <w:kern w:val="0"/>
          <w:sz w:val="22"/>
          <w:szCs w:val="22"/>
        </w:rPr>
        <w:t>.</w:t>
      </w:r>
    </w:p>
    <w:p w:rsidR="001D26BE" w:rsidRPr="00C9399A" w:rsidRDefault="001D26BE" w:rsidP="00E44012">
      <w:pPr>
        <w:autoSpaceDE w:val="0"/>
        <w:autoSpaceDN w:val="0"/>
        <w:adjustRightInd w:val="0"/>
        <w:spacing w:after="120"/>
        <w:textAlignment w:val="bottom"/>
        <w:rPr>
          <w:rFonts w:ascii="Century Schoolbook" w:hAnsi="Century Schoolbook"/>
          <w:kern w:val="0"/>
          <w:sz w:val="22"/>
          <w:szCs w:val="22"/>
        </w:rPr>
      </w:pPr>
      <w:r w:rsidRPr="00C9399A">
        <w:rPr>
          <w:rFonts w:ascii="Century Schoolbook" w:hAnsi="Century Schoolbook"/>
          <w:kern w:val="0"/>
          <w:sz w:val="22"/>
          <w:szCs w:val="22"/>
        </w:rPr>
        <w:t>The general features of a standard test battery are as follows:</w:t>
      </w:r>
    </w:p>
    <w:p w:rsidR="001D26BE" w:rsidRPr="00C9399A" w:rsidRDefault="001D26BE" w:rsidP="001C25A9">
      <w:pPr>
        <w:numPr>
          <w:ilvl w:val="0"/>
          <w:numId w:val="5"/>
        </w:numPr>
        <w:tabs>
          <w:tab w:val="left" w:pos="540"/>
        </w:tabs>
        <w:autoSpaceDE w:val="0"/>
        <w:autoSpaceDN w:val="0"/>
        <w:adjustRightInd w:val="0"/>
        <w:spacing w:after="120"/>
        <w:ind w:hanging="360"/>
        <w:textAlignment w:val="bottom"/>
        <w:rPr>
          <w:rFonts w:ascii="Century Schoolbook" w:hAnsi="Century Schoolbook"/>
          <w:kern w:val="0"/>
          <w:sz w:val="22"/>
          <w:szCs w:val="22"/>
        </w:rPr>
      </w:pPr>
      <w:r w:rsidRPr="00C9399A">
        <w:rPr>
          <w:rFonts w:ascii="Century Schoolbook" w:hAnsi="Century Schoolbook"/>
          <w:kern w:val="0"/>
          <w:sz w:val="22"/>
          <w:szCs w:val="22"/>
        </w:rPr>
        <w:t xml:space="preserve">Assessment of </w:t>
      </w:r>
      <w:proofErr w:type="spellStart"/>
      <w:r w:rsidRPr="00C9399A">
        <w:rPr>
          <w:rFonts w:ascii="Century Schoolbook" w:hAnsi="Century Schoolbook"/>
          <w:kern w:val="0"/>
          <w:sz w:val="22"/>
          <w:szCs w:val="22"/>
        </w:rPr>
        <w:t>mutagenicity</w:t>
      </w:r>
      <w:proofErr w:type="spellEnd"/>
      <w:r w:rsidRPr="00C9399A">
        <w:rPr>
          <w:rFonts w:ascii="Century Schoolbook" w:hAnsi="Century Schoolbook"/>
          <w:kern w:val="0"/>
          <w:sz w:val="22"/>
          <w:szCs w:val="22"/>
        </w:rPr>
        <w:t xml:space="preserve"> in a bacterial reverse gene mutation test.  This test has been shown to detect relevant genetic changes and the majority of </w:t>
      </w:r>
      <w:proofErr w:type="spellStart"/>
      <w:r w:rsidRPr="00C9399A">
        <w:rPr>
          <w:rFonts w:ascii="Century Schoolbook" w:hAnsi="Century Schoolbook"/>
          <w:kern w:val="0"/>
          <w:sz w:val="22"/>
          <w:szCs w:val="22"/>
        </w:rPr>
        <w:t>genotoxic</w:t>
      </w:r>
      <w:proofErr w:type="spellEnd"/>
      <w:r w:rsidRPr="00C9399A">
        <w:rPr>
          <w:rFonts w:ascii="Century Schoolbook" w:hAnsi="Century Schoolbook"/>
          <w:kern w:val="0"/>
          <w:sz w:val="22"/>
          <w:szCs w:val="22"/>
        </w:rPr>
        <w:t xml:space="preserve"> rodent and human carcinogens.</w:t>
      </w:r>
    </w:p>
    <w:p w:rsidR="001D26BE" w:rsidRPr="00C9399A" w:rsidRDefault="001D26BE" w:rsidP="001C25A9">
      <w:pPr>
        <w:numPr>
          <w:ilvl w:val="0"/>
          <w:numId w:val="5"/>
        </w:numPr>
        <w:tabs>
          <w:tab w:val="left" w:pos="540"/>
        </w:tabs>
        <w:autoSpaceDE w:val="0"/>
        <w:autoSpaceDN w:val="0"/>
        <w:adjustRightInd w:val="0"/>
        <w:spacing w:after="120"/>
        <w:ind w:hanging="360"/>
        <w:textAlignment w:val="bottom"/>
        <w:rPr>
          <w:rFonts w:ascii="Century Schoolbook" w:hAnsi="Century Schoolbook"/>
          <w:kern w:val="0"/>
          <w:sz w:val="22"/>
          <w:szCs w:val="22"/>
        </w:rPr>
      </w:pPr>
      <w:proofErr w:type="spellStart"/>
      <w:r w:rsidRPr="00C9399A">
        <w:rPr>
          <w:rFonts w:ascii="Century Schoolbook" w:hAnsi="Century Schoolbook"/>
          <w:kern w:val="0"/>
          <w:sz w:val="22"/>
          <w:szCs w:val="22"/>
        </w:rPr>
        <w:t>Genotoxicity</w:t>
      </w:r>
      <w:proofErr w:type="spellEnd"/>
      <w:r w:rsidRPr="00C9399A">
        <w:rPr>
          <w:rFonts w:ascii="Century Schoolbook" w:hAnsi="Century Schoolbook"/>
          <w:kern w:val="0"/>
          <w:sz w:val="22"/>
          <w:szCs w:val="22"/>
        </w:rPr>
        <w:t xml:space="preserve"> should also be evaluated in mammalian cells </w:t>
      </w:r>
      <w:r w:rsidRPr="00C9399A">
        <w:rPr>
          <w:rFonts w:ascii="Century Schoolbook" w:hAnsi="Century Schoolbook"/>
          <w:i/>
          <w:kern w:val="0"/>
          <w:sz w:val="22"/>
          <w:szCs w:val="22"/>
        </w:rPr>
        <w:t>in vitro</w:t>
      </w:r>
      <w:r w:rsidRPr="00C9399A">
        <w:rPr>
          <w:rFonts w:ascii="Century Schoolbook" w:hAnsi="Century Schoolbook"/>
          <w:kern w:val="0"/>
          <w:sz w:val="22"/>
          <w:szCs w:val="22"/>
        </w:rPr>
        <w:t xml:space="preserve"> and/or </w:t>
      </w:r>
      <w:r w:rsidRPr="00C9399A">
        <w:rPr>
          <w:rFonts w:ascii="Century Schoolbook" w:hAnsi="Century Schoolbook"/>
          <w:i/>
          <w:kern w:val="0"/>
          <w:sz w:val="22"/>
          <w:szCs w:val="22"/>
        </w:rPr>
        <w:t xml:space="preserve">in vivo </w:t>
      </w:r>
      <w:r w:rsidRPr="00C9399A">
        <w:rPr>
          <w:rFonts w:ascii="Century Schoolbook" w:hAnsi="Century Schoolbook"/>
          <w:kern w:val="0"/>
          <w:sz w:val="22"/>
          <w:szCs w:val="22"/>
        </w:rPr>
        <w:t>as follows.</w:t>
      </w:r>
    </w:p>
    <w:p w:rsidR="001D26BE" w:rsidRPr="00C9399A" w:rsidRDefault="001D26BE" w:rsidP="004A62F4">
      <w:pPr>
        <w:autoSpaceDE w:val="0"/>
        <w:autoSpaceDN w:val="0"/>
        <w:adjustRightInd w:val="0"/>
        <w:spacing w:after="120"/>
        <w:textAlignment w:val="bottom"/>
        <w:rPr>
          <w:rFonts w:ascii="Century Schoolbook" w:hAnsi="Century Schoolbook"/>
          <w:kern w:val="0"/>
          <w:sz w:val="22"/>
          <w:szCs w:val="22"/>
        </w:rPr>
      </w:pPr>
      <w:r w:rsidRPr="00C9399A">
        <w:rPr>
          <w:rFonts w:ascii="Century Schoolbook" w:hAnsi="Century Schoolbook"/>
          <w:kern w:val="0"/>
          <w:sz w:val="22"/>
          <w:szCs w:val="22"/>
        </w:rPr>
        <w:t xml:space="preserve">Several </w:t>
      </w:r>
      <w:r w:rsidRPr="00C9399A">
        <w:rPr>
          <w:rFonts w:ascii="Century Schoolbook" w:hAnsi="Century Schoolbook"/>
          <w:i/>
          <w:kern w:val="0"/>
          <w:sz w:val="22"/>
          <w:szCs w:val="22"/>
        </w:rPr>
        <w:t>in vitro</w:t>
      </w:r>
      <w:r w:rsidRPr="00C9399A">
        <w:rPr>
          <w:rFonts w:ascii="Century Schoolbook" w:hAnsi="Century Schoolbook"/>
          <w:kern w:val="0"/>
          <w:sz w:val="22"/>
          <w:szCs w:val="22"/>
        </w:rPr>
        <w:t xml:space="preserve"> mammalian cell systems are widely used and can be considered sufficiently validated:  The </w:t>
      </w:r>
      <w:r w:rsidRPr="00C9399A">
        <w:rPr>
          <w:rFonts w:ascii="Century Schoolbook" w:hAnsi="Century Schoolbook"/>
          <w:i/>
          <w:iCs/>
          <w:kern w:val="0"/>
          <w:sz w:val="22"/>
          <w:szCs w:val="22"/>
        </w:rPr>
        <w:t>in vitro</w:t>
      </w:r>
      <w:r w:rsidRPr="00C9399A">
        <w:rPr>
          <w:rFonts w:ascii="Century Schoolbook" w:hAnsi="Century Schoolbook"/>
          <w:kern w:val="0"/>
          <w:sz w:val="22"/>
          <w:szCs w:val="22"/>
        </w:rPr>
        <w:t xml:space="preserve"> metaphase chromosome aberration assay, the </w:t>
      </w:r>
      <w:r w:rsidRPr="00C9399A">
        <w:rPr>
          <w:rFonts w:ascii="Century Schoolbook" w:hAnsi="Century Schoolbook"/>
          <w:i/>
          <w:iCs/>
          <w:kern w:val="0"/>
          <w:sz w:val="22"/>
          <w:szCs w:val="22"/>
        </w:rPr>
        <w:t>in vitro</w:t>
      </w:r>
      <w:r w:rsidRPr="00C9399A">
        <w:rPr>
          <w:rFonts w:ascii="Century Schoolbook" w:hAnsi="Century Schoolbook"/>
          <w:kern w:val="0"/>
          <w:sz w:val="22"/>
          <w:szCs w:val="22"/>
        </w:rPr>
        <w:t xml:space="preserve"> micronucleus assay (</w:t>
      </w:r>
      <w:r w:rsidR="00DB33C4">
        <w:rPr>
          <w:rFonts w:ascii="Century Schoolbook" w:hAnsi="Century Schoolbook"/>
          <w:kern w:val="0"/>
          <w:sz w:val="22"/>
          <w:szCs w:val="22"/>
        </w:rPr>
        <w:t>Note</w:t>
      </w:r>
      <w:r w:rsidRPr="00C9399A">
        <w:rPr>
          <w:rFonts w:ascii="Century Schoolbook" w:hAnsi="Century Schoolbook"/>
          <w:kern w:val="0"/>
          <w:sz w:val="22"/>
          <w:szCs w:val="22"/>
        </w:rPr>
        <w:t xml:space="preserve"> 1) and the mouse lymphoma L5178Y cell </w:t>
      </w:r>
      <w:proofErr w:type="spellStart"/>
      <w:r w:rsidRPr="00C9399A">
        <w:rPr>
          <w:rFonts w:ascii="Century Schoolbook" w:hAnsi="Century Schoolbook"/>
          <w:i/>
          <w:kern w:val="0"/>
          <w:sz w:val="22"/>
          <w:szCs w:val="22"/>
        </w:rPr>
        <w:t>Tk</w:t>
      </w:r>
      <w:proofErr w:type="spellEnd"/>
      <w:r w:rsidRPr="00C9399A">
        <w:rPr>
          <w:rFonts w:ascii="Century Schoolbook" w:hAnsi="Century Schoolbook"/>
          <w:kern w:val="0"/>
          <w:sz w:val="22"/>
          <w:szCs w:val="22"/>
        </w:rPr>
        <w:t xml:space="preserve"> (</w:t>
      </w:r>
      <w:proofErr w:type="spellStart"/>
      <w:r w:rsidRPr="00C9399A">
        <w:rPr>
          <w:rFonts w:ascii="Century Schoolbook" w:hAnsi="Century Schoolbook"/>
          <w:kern w:val="0"/>
          <w:sz w:val="22"/>
          <w:szCs w:val="22"/>
        </w:rPr>
        <w:t>thymidine</w:t>
      </w:r>
      <w:proofErr w:type="spellEnd"/>
      <w:r w:rsidRPr="00C9399A">
        <w:rPr>
          <w:rFonts w:ascii="Century Schoolbook" w:hAnsi="Century Schoolbook"/>
          <w:kern w:val="0"/>
          <w:sz w:val="22"/>
          <w:szCs w:val="22"/>
        </w:rPr>
        <w:t xml:space="preserve"> </w:t>
      </w:r>
      <w:proofErr w:type="spellStart"/>
      <w:r w:rsidRPr="00C9399A">
        <w:rPr>
          <w:rFonts w:ascii="Century Schoolbook" w:hAnsi="Century Schoolbook"/>
          <w:kern w:val="0"/>
          <w:sz w:val="22"/>
          <w:szCs w:val="22"/>
        </w:rPr>
        <w:t>kinase</w:t>
      </w:r>
      <w:proofErr w:type="spellEnd"/>
      <w:r w:rsidRPr="00C9399A">
        <w:rPr>
          <w:rFonts w:ascii="Century Schoolbook" w:hAnsi="Century Schoolbook"/>
          <w:kern w:val="0"/>
          <w:sz w:val="22"/>
          <w:szCs w:val="22"/>
        </w:rPr>
        <w:t xml:space="preserve">) gene mutation assay (MLA).  These three assays are currently considered equally appropriate and therefore interchangeable for measurement of chromosomal damage when used together with other </w:t>
      </w:r>
      <w:proofErr w:type="spellStart"/>
      <w:r w:rsidRPr="00C9399A">
        <w:rPr>
          <w:rFonts w:ascii="Century Schoolbook" w:hAnsi="Century Schoolbook"/>
          <w:kern w:val="0"/>
          <w:sz w:val="22"/>
          <w:szCs w:val="22"/>
        </w:rPr>
        <w:t>genotoxicity</w:t>
      </w:r>
      <w:proofErr w:type="spellEnd"/>
      <w:r w:rsidRPr="00C9399A">
        <w:rPr>
          <w:rFonts w:ascii="Century Schoolbook" w:hAnsi="Century Schoolbook"/>
          <w:kern w:val="0"/>
          <w:sz w:val="22"/>
          <w:szCs w:val="22"/>
        </w:rPr>
        <w:t xml:space="preserve"> tests in a standard battery for testing of pharmaceuticals, if the test protocols recommended in this </w:t>
      </w:r>
      <w:r w:rsidR="00292104">
        <w:rPr>
          <w:rFonts w:ascii="Century Schoolbook" w:hAnsi="Century Schoolbook"/>
          <w:kern w:val="0"/>
          <w:sz w:val="22"/>
          <w:szCs w:val="22"/>
        </w:rPr>
        <w:t>G</w:t>
      </w:r>
      <w:r w:rsidRPr="00C9399A">
        <w:rPr>
          <w:rFonts w:ascii="Century Schoolbook" w:hAnsi="Century Schoolbook"/>
          <w:kern w:val="0"/>
          <w:sz w:val="22"/>
          <w:szCs w:val="22"/>
        </w:rPr>
        <w:t>uideline are used.</w:t>
      </w:r>
    </w:p>
    <w:p w:rsidR="001D26BE" w:rsidRPr="00C9399A" w:rsidRDefault="001D26BE" w:rsidP="004A62F4">
      <w:pPr>
        <w:autoSpaceDE w:val="0"/>
        <w:autoSpaceDN w:val="0"/>
        <w:adjustRightInd w:val="0"/>
        <w:spacing w:after="120"/>
        <w:textAlignment w:val="bottom"/>
        <w:rPr>
          <w:rFonts w:ascii="Century Schoolbook" w:hAnsi="Century Schoolbook"/>
          <w:kern w:val="0"/>
          <w:sz w:val="22"/>
          <w:szCs w:val="22"/>
        </w:rPr>
      </w:pPr>
      <w:r w:rsidRPr="00C9399A">
        <w:rPr>
          <w:rFonts w:ascii="Century Schoolbook" w:hAnsi="Century Schoolbook"/>
          <w:i/>
          <w:kern w:val="0"/>
          <w:sz w:val="22"/>
          <w:szCs w:val="22"/>
        </w:rPr>
        <w:t>In vivo</w:t>
      </w:r>
      <w:r w:rsidRPr="00C9399A">
        <w:rPr>
          <w:rFonts w:ascii="Century Schoolbook" w:hAnsi="Century Schoolbook"/>
          <w:kern w:val="0"/>
          <w:sz w:val="22"/>
          <w:szCs w:val="22"/>
        </w:rPr>
        <w:t xml:space="preserve"> test(s) are included in the test battery because some agents are mutagenic </w:t>
      </w:r>
      <w:r w:rsidRPr="00C9399A">
        <w:rPr>
          <w:rFonts w:ascii="Century Schoolbook" w:hAnsi="Century Schoolbook"/>
          <w:i/>
          <w:iCs/>
          <w:kern w:val="0"/>
          <w:sz w:val="22"/>
          <w:szCs w:val="22"/>
        </w:rPr>
        <w:t>in vivo</w:t>
      </w:r>
      <w:r w:rsidRPr="00C9399A">
        <w:rPr>
          <w:rFonts w:ascii="Century Schoolbook" w:hAnsi="Century Schoolbook"/>
          <w:kern w:val="0"/>
          <w:sz w:val="22"/>
          <w:szCs w:val="22"/>
        </w:rPr>
        <w:t xml:space="preserve"> but not </w:t>
      </w:r>
      <w:r w:rsidRPr="00C9399A">
        <w:rPr>
          <w:rFonts w:ascii="Century Schoolbook" w:hAnsi="Century Schoolbook"/>
          <w:i/>
          <w:iCs/>
          <w:kern w:val="0"/>
          <w:sz w:val="22"/>
          <w:szCs w:val="22"/>
        </w:rPr>
        <w:t>in vitro</w:t>
      </w:r>
      <w:r w:rsidRPr="00C9399A">
        <w:rPr>
          <w:rFonts w:ascii="Century Schoolbook" w:hAnsi="Century Schoolbook"/>
          <w:kern w:val="0"/>
          <w:sz w:val="22"/>
          <w:szCs w:val="22"/>
        </w:rPr>
        <w:t xml:space="preserve"> (</w:t>
      </w:r>
      <w:r w:rsidR="00DB33C4">
        <w:rPr>
          <w:rFonts w:ascii="Century Schoolbook" w:hAnsi="Century Schoolbook"/>
          <w:kern w:val="0"/>
          <w:sz w:val="22"/>
          <w:szCs w:val="22"/>
        </w:rPr>
        <w:t>Note</w:t>
      </w:r>
      <w:r w:rsidRPr="00C9399A">
        <w:rPr>
          <w:rFonts w:ascii="Century Schoolbook" w:hAnsi="Century Schoolbook"/>
          <w:kern w:val="0"/>
          <w:sz w:val="22"/>
          <w:szCs w:val="22"/>
        </w:rPr>
        <w:t xml:space="preserve"> 2) and because it is desirable to include assays that account for such factors as absorption, distribution, metabolism and excretion. The choice of an analysis either of micronuclei in erythrocytes (in blood or bone marrow), or of chromosome aberrations in metaphase cells in bone marrow, is currently included for this reason (</w:t>
      </w:r>
      <w:r w:rsidR="00DB33C4">
        <w:rPr>
          <w:rFonts w:ascii="Century Schoolbook" w:hAnsi="Century Schoolbook"/>
          <w:kern w:val="0"/>
          <w:sz w:val="22"/>
          <w:szCs w:val="22"/>
        </w:rPr>
        <w:t>Note</w:t>
      </w:r>
      <w:r w:rsidRPr="00C9399A">
        <w:rPr>
          <w:rFonts w:ascii="Century Schoolbook" w:hAnsi="Century Schoolbook"/>
          <w:kern w:val="0"/>
          <w:sz w:val="22"/>
          <w:szCs w:val="22"/>
        </w:rPr>
        <w:t xml:space="preserve"> 3).  Lymphocytes cultured from treated animals can also be used for cytogenetic analysis, although experience with such analyses is less widespread.</w:t>
      </w:r>
    </w:p>
    <w:p w:rsidR="001D26BE" w:rsidRPr="00C9399A" w:rsidRDefault="001D26BE" w:rsidP="004A62F4">
      <w:pPr>
        <w:autoSpaceDE w:val="0"/>
        <w:autoSpaceDN w:val="0"/>
        <w:adjustRightInd w:val="0"/>
        <w:spacing w:after="120"/>
        <w:textAlignment w:val="bottom"/>
        <w:rPr>
          <w:rFonts w:ascii="Century Schoolbook" w:hAnsi="Century Schoolbook"/>
          <w:kern w:val="0"/>
          <w:sz w:val="22"/>
          <w:szCs w:val="22"/>
        </w:rPr>
      </w:pPr>
      <w:r w:rsidRPr="00C9399A">
        <w:rPr>
          <w:rFonts w:ascii="Century Schoolbook" w:hAnsi="Century Schoolbook"/>
          <w:i/>
          <w:kern w:val="0"/>
          <w:sz w:val="22"/>
          <w:szCs w:val="22"/>
        </w:rPr>
        <w:t>In vitro</w:t>
      </w:r>
      <w:r w:rsidRPr="00C9399A">
        <w:rPr>
          <w:rFonts w:ascii="Century Schoolbook" w:hAnsi="Century Schoolbook"/>
          <w:kern w:val="0"/>
          <w:sz w:val="22"/>
          <w:szCs w:val="22"/>
        </w:rPr>
        <w:t xml:space="preserve"> and </w:t>
      </w:r>
      <w:r w:rsidRPr="00C9399A">
        <w:rPr>
          <w:rFonts w:ascii="Century Schoolbook" w:hAnsi="Century Schoolbook"/>
          <w:i/>
          <w:kern w:val="0"/>
          <w:sz w:val="22"/>
          <w:szCs w:val="22"/>
        </w:rPr>
        <w:t>in vivo</w:t>
      </w:r>
      <w:r w:rsidRPr="00C9399A">
        <w:rPr>
          <w:rFonts w:ascii="Century Schoolbook" w:hAnsi="Century Schoolbook"/>
          <w:kern w:val="0"/>
          <w:sz w:val="22"/>
          <w:szCs w:val="22"/>
        </w:rPr>
        <w:t xml:space="preserve"> tests that measure chromosomal aberrations in metaphase cells can detect a wide spectrum of changes in chromosomal integrity.  Breakage of </w:t>
      </w:r>
      <w:proofErr w:type="spellStart"/>
      <w:r w:rsidRPr="00C9399A">
        <w:rPr>
          <w:rFonts w:ascii="Century Schoolbook" w:hAnsi="Century Schoolbook"/>
          <w:kern w:val="0"/>
          <w:sz w:val="22"/>
          <w:szCs w:val="22"/>
        </w:rPr>
        <w:t>chromatids</w:t>
      </w:r>
      <w:proofErr w:type="spellEnd"/>
      <w:r w:rsidRPr="00C9399A">
        <w:rPr>
          <w:rFonts w:ascii="Century Schoolbook" w:hAnsi="Century Schoolbook"/>
          <w:kern w:val="0"/>
          <w:sz w:val="22"/>
          <w:szCs w:val="22"/>
        </w:rPr>
        <w:t xml:space="preserve"> or chromosomes can result in micronucleus formation if an </w:t>
      </w:r>
      <w:proofErr w:type="spellStart"/>
      <w:r w:rsidRPr="00C9399A">
        <w:rPr>
          <w:rFonts w:ascii="Century Schoolbook" w:hAnsi="Century Schoolbook"/>
          <w:kern w:val="0"/>
          <w:sz w:val="22"/>
          <w:szCs w:val="22"/>
        </w:rPr>
        <w:t>acentric</w:t>
      </w:r>
      <w:proofErr w:type="spellEnd"/>
      <w:r w:rsidRPr="00C9399A">
        <w:rPr>
          <w:rFonts w:ascii="Century Schoolbook" w:hAnsi="Century Schoolbook"/>
          <w:kern w:val="0"/>
          <w:sz w:val="22"/>
          <w:szCs w:val="22"/>
        </w:rPr>
        <w:t xml:space="preserve"> fragment is produced; therefore assays that detect either chromosomal aberrations or micronuclei are considered appropriate for detecting </w:t>
      </w:r>
      <w:proofErr w:type="spellStart"/>
      <w:r w:rsidRPr="00C9399A">
        <w:rPr>
          <w:rFonts w:ascii="Century Schoolbook" w:hAnsi="Century Schoolbook"/>
          <w:kern w:val="0"/>
          <w:sz w:val="22"/>
          <w:szCs w:val="22"/>
        </w:rPr>
        <w:t>clastogens</w:t>
      </w:r>
      <w:proofErr w:type="spellEnd"/>
      <w:r w:rsidRPr="00C9399A">
        <w:rPr>
          <w:rFonts w:ascii="Century Schoolbook" w:hAnsi="Century Schoolbook"/>
          <w:kern w:val="0"/>
          <w:sz w:val="22"/>
          <w:szCs w:val="22"/>
        </w:rPr>
        <w:t xml:space="preserve">.  Micronuclei can also result from lagging of one or more whole chromosome(s) at anaphase and thus micronucleus tests have the potential to detect some </w:t>
      </w:r>
      <w:proofErr w:type="spellStart"/>
      <w:r w:rsidRPr="00C9399A">
        <w:rPr>
          <w:rFonts w:ascii="Century Schoolbook" w:hAnsi="Century Schoolbook"/>
          <w:kern w:val="0"/>
          <w:sz w:val="22"/>
          <w:szCs w:val="22"/>
        </w:rPr>
        <w:t>aneuploidy</w:t>
      </w:r>
      <w:proofErr w:type="spellEnd"/>
      <w:r w:rsidRPr="00C9399A">
        <w:rPr>
          <w:rFonts w:ascii="Century Schoolbook" w:hAnsi="Century Schoolbook"/>
          <w:kern w:val="0"/>
          <w:sz w:val="22"/>
          <w:szCs w:val="22"/>
        </w:rPr>
        <w:t xml:space="preserve"> inducers.  The MLA detects mutations in the </w:t>
      </w:r>
      <w:proofErr w:type="spellStart"/>
      <w:r w:rsidRPr="00C9399A">
        <w:rPr>
          <w:rFonts w:ascii="Century Schoolbook" w:hAnsi="Century Schoolbook"/>
          <w:i/>
          <w:kern w:val="0"/>
          <w:sz w:val="22"/>
          <w:szCs w:val="22"/>
        </w:rPr>
        <w:t>Tk</w:t>
      </w:r>
      <w:proofErr w:type="spellEnd"/>
      <w:r w:rsidRPr="00C9399A">
        <w:rPr>
          <w:rFonts w:ascii="Century Schoolbook" w:hAnsi="Century Schoolbook"/>
          <w:kern w:val="0"/>
          <w:sz w:val="22"/>
          <w:szCs w:val="22"/>
        </w:rPr>
        <w:t xml:space="preserve"> gene that result from both gene mutations and chromosome damage.  There is some evidence that MLA can also detect chromosome loss.</w:t>
      </w:r>
    </w:p>
    <w:p w:rsidR="001D26BE" w:rsidRPr="00C9399A" w:rsidRDefault="001D26BE" w:rsidP="004A62F4">
      <w:pPr>
        <w:autoSpaceDE w:val="0"/>
        <w:autoSpaceDN w:val="0"/>
        <w:adjustRightInd w:val="0"/>
        <w:spacing w:after="120"/>
        <w:textAlignment w:val="bottom"/>
        <w:rPr>
          <w:rFonts w:ascii="Century Schoolbook" w:hAnsi="Century Schoolbook"/>
          <w:kern w:val="0"/>
          <w:sz w:val="22"/>
          <w:szCs w:val="22"/>
        </w:rPr>
      </w:pPr>
      <w:r w:rsidRPr="00C9399A">
        <w:rPr>
          <w:rFonts w:ascii="Century Schoolbook" w:hAnsi="Century Schoolbook"/>
          <w:kern w:val="0"/>
          <w:sz w:val="22"/>
          <w:szCs w:val="22"/>
        </w:rPr>
        <w:t xml:space="preserve">There are several additional </w:t>
      </w:r>
      <w:r w:rsidRPr="00C9399A">
        <w:rPr>
          <w:rFonts w:ascii="Century Schoolbook" w:hAnsi="Century Schoolbook"/>
          <w:i/>
          <w:kern w:val="0"/>
          <w:sz w:val="22"/>
          <w:szCs w:val="22"/>
        </w:rPr>
        <w:t>in vivo</w:t>
      </w:r>
      <w:r w:rsidRPr="00C9399A">
        <w:rPr>
          <w:rFonts w:ascii="Century Schoolbook" w:hAnsi="Century Schoolbook"/>
          <w:kern w:val="0"/>
          <w:sz w:val="22"/>
          <w:szCs w:val="22"/>
        </w:rPr>
        <w:t xml:space="preserve"> assays that can be used in the battery or as follow-up tests to develop weight of evidence in assessing results of </w:t>
      </w:r>
      <w:r w:rsidRPr="00C9399A">
        <w:rPr>
          <w:rFonts w:ascii="Century Schoolbook" w:hAnsi="Century Schoolbook"/>
          <w:i/>
          <w:kern w:val="0"/>
          <w:sz w:val="22"/>
          <w:szCs w:val="22"/>
        </w:rPr>
        <w:t>in vitro</w:t>
      </w:r>
      <w:r w:rsidRPr="00C9399A">
        <w:rPr>
          <w:rFonts w:ascii="Century Schoolbook" w:hAnsi="Century Schoolbook"/>
          <w:kern w:val="0"/>
          <w:sz w:val="22"/>
          <w:szCs w:val="22"/>
        </w:rPr>
        <w:t xml:space="preserve"> or </w:t>
      </w:r>
      <w:r w:rsidRPr="00C9399A">
        <w:rPr>
          <w:rFonts w:ascii="Century Schoolbook" w:hAnsi="Century Schoolbook"/>
          <w:i/>
          <w:kern w:val="0"/>
          <w:sz w:val="22"/>
          <w:szCs w:val="22"/>
        </w:rPr>
        <w:t>in vivo</w:t>
      </w:r>
      <w:r w:rsidRPr="00C9399A">
        <w:rPr>
          <w:rFonts w:ascii="Century Schoolbook" w:hAnsi="Century Schoolbook"/>
          <w:kern w:val="0"/>
          <w:sz w:val="22"/>
          <w:szCs w:val="22"/>
        </w:rPr>
        <w:t xml:space="preserve"> assays (see below).  Negative results in appropriate </w:t>
      </w:r>
      <w:r w:rsidRPr="00C9399A">
        <w:rPr>
          <w:rFonts w:ascii="Century Schoolbook" w:hAnsi="Century Schoolbook"/>
          <w:i/>
          <w:kern w:val="0"/>
          <w:sz w:val="22"/>
          <w:szCs w:val="22"/>
        </w:rPr>
        <w:t>in vivo</w:t>
      </w:r>
      <w:r w:rsidRPr="00C9399A">
        <w:rPr>
          <w:rFonts w:ascii="Century Schoolbook" w:hAnsi="Century Schoolbook"/>
          <w:kern w:val="0"/>
          <w:sz w:val="22"/>
          <w:szCs w:val="22"/>
        </w:rPr>
        <w:t xml:space="preserve"> assays (usually two), with adequate justification for the endpoints measured, and demonstration of exposure (see </w:t>
      </w:r>
      <w:r w:rsidR="00DB33C4">
        <w:rPr>
          <w:rFonts w:ascii="Century Schoolbook" w:hAnsi="Century Schoolbook"/>
          <w:kern w:val="0"/>
          <w:sz w:val="22"/>
          <w:szCs w:val="22"/>
        </w:rPr>
        <w:t>Section</w:t>
      </w:r>
      <w:r w:rsidRPr="00C9399A">
        <w:rPr>
          <w:rFonts w:ascii="Century Schoolbook" w:hAnsi="Century Schoolbook"/>
          <w:kern w:val="0"/>
          <w:sz w:val="22"/>
          <w:szCs w:val="22"/>
        </w:rPr>
        <w:t xml:space="preserve"> 4.4) are generally considered sufficient to demonstrate absence of significant </w:t>
      </w:r>
      <w:proofErr w:type="spellStart"/>
      <w:r w:rsidRPr="00C9399A">
        <w:rPr>
          <w:rFonts w:ascii="Century Schoolbook" w:hAnsi="Century Schoolbook"/>
          <w:kern w:val="0"/>
          <w:sz w:val="22"/>
          <w:szCs w:val="22"/>
        </w:rPr>
        <w:t>genotoxic</w:t>
      </w:r>
      <w:proofErr w:type="spellEnd"/>
      <w:r w:rsidRPr="00C9399A">
        <w:rPr>
          <w:rFonts w:ascii="Century Schoolbook" w:hAnsi="Century Schoolbook"/>
          <w:kern w:val="0"/>
          <w:sz w:val="22"/>
          <w:szCs w:val="22"/>
        </w:rPr>
        <w:t xml:space="preserve"> risk.</w:t>
      </w:r>
    </w:p>
    <w:p w:rsidR="001D26BE" w:rsidRPr="0078046D" w:rsidRDefault="001D26BE" w:rsidP="00AA186A">
      <w:pPr>
        <w:pStyle w:val="Heading2"/>
        <w:numPr>
          <w:ilvl w:val="1"/>
          <w:numId w:val="36"/>
        </w:numPr>
        <w:spacing w:before="180" w:after="120"/>
        <w:ind w:left="720" w:hanging="720"/>
        <w:rPr>
          <w:rFonts w:ascii="Century Schoolbook" w:hAnsi="Century Schoolbook"/>
          <w:bCs w:val="0"/>
          <w:i w:val="0"/>
          <w:kern w:val="0"/>
          <w:sz w:val="22"/>
          <w:szCs w:val="22"/>
        </w:rPr>
      </w:pPr>
      <w:bookmarkStart w:id="16" w:name="_Toc309742173"/>
      <w:bookmarkStart w:id="17" w:name="_Toc309835271"/>
      <w:r w:rsidRPr="0078046D">
        <w:rPr>
          <w:rFonts w:ascii="Century Schoolbook" w:hAnsi="Century Schoolbook"/>
          <w:bCs w:val="0"/>
          <w:i w:val="0"/>
          <w:kern w:val="0"/>
          <w:sz w:val="22"/>
          <w:szCs w:val="22"/>
        </w:rPr>
        <w:t xml:space="preserve">Description </w:t>
      </w:r>
      <w:r w:rsidR="00154C44" w:rsidRPr="0078046D">
        <w:rPr>
          <w:rFonts w:ascii="Century Schoolbook" w:hAnsi="Century Schoolbook"/>
          <w:bCs w:val="0"/>
          <w:i w:val="0"/>
          <w:kern w:val="0"/>
          <w:sz w:val="22"/>
          <w:szCs w:val="22"/>
        </w:rPr>
        <w:t>o</w:t>
      </w:r>
      <w:r w:rsidR="001303EB" w:rsidRPr="0078046D">
        <w:rPr>
          <w:rFonts w:ascii="Century Schoolbook" w:hAnsi="Century Schoolbook"/>
          <w:bCs w:val="0"/>
          <w:i w:val="0"/>
          <w:kern w:val="0"/>
          <w:sz w:val="22"/>
          <w:szCs w:val="22"/>
        </w:rPr>
        <w:t xml:space="preserve">f </w:t>
      </w:r>
      <w:r w:rsidR="00154C44" w:rsidRPr="0078046D">
        <w:rPr>
          <w:rFonts w:ascii="Century Schoolbook" w:hAnsi="Century Schoolbook"/>
          <w:bCs w:val="0"/>
          <w:i w:val="0"/>
          <w:kern w:val="0"/>
          <w:sz w:val="22"/>
          <w:szCs w:val="22"/>
        </w:rPr>
        <w:t>t</w:t>
      </w:r>
      <w:r w:rsidR="001303EB" w:rsidRPr="0078046D">
        <w:rPr>
          <w:rFonts w:ascii="Century Schoolbook" w:hAnsi="Century Schoolbook"/>
          <w:bCs w:val="0"/>
          <w:i w:val="0"/>
          <w:kern w:val="0"/>
          <w:sz w:val="22"/>
          <w:szCs w:val="22"/>
        </w:rPr>
        <w:t xml:space="preserve">he Two Options </w:t>
      </w:r>
      <w:r w:rsidR="00154C44" w:rsidRPr="0078046D">
        <w:rPr>
          <w:rFonts w:ascii="Century Schoolbook" w:hAnsi="Century Schoolbook"/>
          <w:bCs w:val="0"/>
          <w:i w:val="0"/>
          <w:kern w:val="0"/>
          <w:sz w:val="22"/>
          <w:szCs w:val="22"/>
        </w:rPr>
        <w:t>f</w:t>
      </w:r>
      <w:r w:rsidR="001303EB" w:rsidRPr="0078046D">
        <w:rPr>
          <w:rFonts w:ascii="Century Schoolbook" w:hAnsi="Century Schoolbook"/>
          <w:bCs w:val="0"/>
          <w:i w:val="0"/>
          <w:kern w:val="0"/>
          <w:sz w:val="22"/>
          <w:szCs w:val="22"/>
        </w:rPr>
        <w:t xml:space="preserve">or </w:t>
      </w:r>
      <w:r w:rsidR="00154C44" w:rsidRPr="0078046D">
        <w:rPr>
          <w:rFonts w:ascii="Century Schoolbook" w:hAnsi="Century Schoolbook"/>
          <w:bCs w:val="0"/>
          <w:i w:val="0"/>
          <w:kern w:val="0"/>
          <w:sz w:val="22"/>
          <w:szCs w:val="22"/>
        </w:rPr>
        <w:t>t</w:t>
      </w:r>
      <w:r w:rsidR="001303EB" w:rsidRPr="0078046D">
        <w:rPr>
          <w:rFonts w:ascii="Century Schoolbook" w:hAnsi="Century Schoolbook"/>
          <w:bCs w:val="0"/>
          <w:i w:val="0"/>
          <w:kern w:val="0"/>
          <w:sz w:val="22"/>
          <w:szCs w:val="22"/>
        </w:rPr>
        <w:t>he Standard Battery</w:t>
      </w:r>
      <w:bookmarkEnd w:id="16"/>
      <w:bookmarkEnd w:id="17"/>
      <w:r w:rsidR="001303EB" w:rsidRPr="0078046D">
        <w:rPr>
          <w:rFonts w:ascii="Century Schoolbook" w:hAnsi="Century Schoolbook"/>
          <w:bCs w:val="0"/>
          <w:i w:val="0"/>
          <w:kern w:val="0"/>
          <w:sz w:val="22"/>
          <w:szCs w:val="22"/>
        </w:rPr>
        <w:t xml:space="preserve"> </w:t>
      </w:r>
    </w:p>
    <w:p w:rsidR="001D26BE" w:rsidRPr="00C9399A" w:rsidRDefault="001D26BE" w:rsidP="00E44012">
      <w:pPr>
        <w:autoSpaceDE w:val="0"/>
        <w:autoSpaceDN w:val="0"/>
        <w:adjustRightInd w:val="0"/>
        <w:spacing w:after="120"/>
        <w:textAlignment w:val="bottom"/>
        <w:rPr>
          <w:rFonts w:ascii="Century Schoolbook" w:hAnsi="Century Schoolbook"/>
          <w:kern w:val="0"/>
          <w:sz w:val="22"/>
          <w:szCs w:val="22"/>
        </w:rPr>
      </w:pPr>
      <w:r w:rsidRPr="00634EE0">
        <w:rPr>
          <w:rFonts w:ascii="Century Schoolbook" w:hAnsi="Century Schoolbook"/>
          <w:kern w:val="0"/>
          <w:sz w:val="21"/>
          <w:szCs w:val="21"/>
        </w:rPr>
        <w:t>The following two options for the standard battery are considered equally suitable (</w:t>
      </w:r>
      <w:r w:rsidR="00DB33C4" w:rsidRPr="00634EE0">
        <w:rPr>
          <w:rFonts w:ascii="Century Schoolbook" w:hAnsi="Century Schoolbook"/>
          <w:kern w:val="0"/>
          <w:sz w:val="21"/>
          <w:szCs w:val="21"/>
        </w:rPr>
        <w:t>Note</w:t>
      </w:r>
      <w:r w:rsidRPr="00634EE0">
        <w:rPr>
          <w:rFonts w:ascii="Century Schoolbook" w:hAnsi="Century Schoolbook"/>
          <w:kern w:val="0"/>
          <w:sz w:val="21"/>
          <w:szCs w:val="21"/>
        </w:rPr>
        <w:t xml:space="preserve"> </w:t>
      </w:r>
      <w:r w:rsidRPr="00634EE0">
        <w:rPr>
          <w:rFonts w:ascii="Century Schoolbook" w:hAnsi="Century Schoolbook"/>
          <w:kern w:val="0"/>
          <w:sz w:val="21"/>
          <w:szCs w:val="21"/>
        </w:rPr>
        <w:lastRenderedPageBreak/>
        <w:t>4):</w:t>
      </w:r>
      <w:r w:rsidRPr="00C9399A">
        <w:rPr>
          <w:rFonts w:ascii="Century Schoolbook" w:hAnsi="Century Schoolbook"/>
          <w:kern w:val="0"/>
          <w:sz w:val="22"/>
          <w:szCs w:val="22"/>
        </w:rPr>
        <w:t xml:space="preserve"> </w:t>
      </w:r>
    </w:p>
    <w:p w:rsidR="001D26BE" w:rsidRPr="00C9399A" w:rsidRDefault="001D26BE" w:rsidP="00E44012">
      <w:pPr>
        <w:autoSpaceDE w:val="0"/>
        <w:autoSpaceDN w:val="0"/>
        <w:adjustRightInd w:val="0"/>
        <w:spacing w:after="120"/>
        <w:textAlignment w:val="bottom"/>
        <w:rPr>
          <w:rFonts w:ascii="Century Schoolbook" w:hAnsi="Century Schoolbook"/>
          <w:bCs/>
          <w:kern w:val="0"/>
          <w:sz w:val="22"/>
          <w:szCs w:val="22"/>
          <w:u w:val="single"/>
        </w:rPr>
      </w:pPr>
      <w:r w:rsidRPr="00C9399A">
        <w:rPr>
          <w:rFonts w:ascii="Century Schoolbook" w:hAnsi="Century Schoolbook"/>
          <w:bCs/>
          <w:kern w:val="0"/>
          <w:sz w:val="22"/>
          <w:szCs w:val="22"/>
          <w:u w:val="single"/>
        </w:rPr>
        <w:t>Option 1</w:t>
      </w:r>
    </w:p>
    <w:p w:rsidR="001D26BE" w:rsidRPr="00C9399A" w:rsidRDefault="001D26BE" w:rsidP="004235DD">
      <w:pPr>
        <w:numPr>
          <w:ilvl w:val="0"/>
          <w:numId w:val="4"/>
        </w:numPr>
        <w:autoSpaceDE w:val="0"/>
        <w:autoSpaceDN w:val="0"/>
        <w:adjustRightInd w:val="0"/>
        <w:spacing w:after="120"/>
        <w:ind w:hanging="360"/>
        <w:textAlignment w:val="bottom"/>
        <w:rPr>
          <w:rFonts w:ascii="Century Schoolbook" w:hAnsi="Century Schoolbook"/>
          <w:bCs/>
          <w:kern w:val="0"/>
          <w:sz w:val="22"/>
          <w:szCs w:val="22"/>
        </w:rPr>
      </w:pPr>
      <w:r w:rsidRPr="00C9399A">
        <w:rPr>
          <w:rFonts w:ascii="Century Schoolbook" w:hAnsi="Century Schoolbook"/>
          <w:bCs/>
          <w:kern w:val="0"/>
          <w:sz w:val="22"/>
          <w:szCs w:val="22"/>
        </w:rPr>
        <w:t>A test for gene mutation in bacteria.</w:t>
      </w:r>
    </w:p>
    <w:p w:rsidR="001D26BE" w:rsidRPr="00C9399A" w:rsidRDefault="001D26BE" w:rsidP="004235DD">
      <w:pPr>
        <w:numPr>
          <w:ilvl w:val="0"/>
          <w:numId w:val="4"/>
        </w:numPr>
        <w:autoSpaceDE w:val="0"/>
        <w:autoSpaceDN w:val="0"/>
        <w:adjustRightInd w:val="0"/>
        <w:spacing w:after="120"/>
        <w:ind w:hanging="360"/>
        <w:textAlignment w:val="bottom"/>
        <w:rPr>
          <w:rFonts w:ascii="Century Schoolbook" w:hAnsi="Century Schoolbook"/>
          <w:bCs/>
          <w:kern w:val="0"/>
          <w:sz w:val="22"/>
          <w:szCs w:val="22"/>
        </w:rPr>
      </w:pPr>
      <w:r w:rsidRPr="00C9399A">
        <w:rPr>
          <w:rFonts w:ascii="Century Schoolbook" w:hAnsi="Century Schoolbook"/>
          <w:bCs/>
          <w:kern w:val="0"/>
          <w:sz w:val="22"/>
          <w:szCs w:val="22"/>
        </w:rPr>
        <w:t xml:space="preserve">A cytogenetic test for chromosomal damage (the </w:t>
      </w:r>
      <w:r w:rsidRPr="00C9399A">
        <w:rPr>
          <w:rFonts w:ascii="Century Schoolbook" w:hAnsi="Century Schoolbook"/>
          <w:bCs/>
          <w:i/>
          <w:iCs/>
          <w:kern w:val="0"/>
          <w:sz w:val="22"/>
          <w:szCs w:val="22"/>
        </w:rPr>
        <w:t>in vitro</w:t>
      </w:r>
      <w:r w:rsidRPr="00C9399A">
        <w:rPr>
          <w:rFonts w:ascii="Century Schoolbook" w:hAnsi="Century Schoolbook"/>
          <w:bCs/>
          <w:kern w:val="0"/>
          <w:sz w:val="22"/>
          <w:szCs w:val="22"/>
        </w:rPr>
        <w:t xml:space="preserve"> metaphase chromosome aberration test or </w:t>
      </w:r>
      <w:r w:rsidRPr="00C9399A">
        <w:rPr>
          <w:rFonts w:ascii="Century Schoolbook" w:hAnsi="Century Schoolbook"/>
          <w:bCs/>
          <w:i/>
          <w:iCs/>
          <w:kern w:val="0"/>
          <w:sz w:val="22"/>
          <w:szCs w:val="22"/>
        </w:rPr>
        <w:t>in vitro</w:t>
      </w:r>
      <w:r w:rsidRPr="00C9399A">
        <w:rPr>
          <w:rFonts w:ascii="Century Schoolbook" w:hAnsi="Century Schoolbook"/>
          <w:bCs/>
          <w:kern w:val="0"/>
          <w:sz w:val="22"/>
          <w:szCs w:val="22"/>
        </w:rPr>
        <w:t xml:space="preserve"> micronucleus test), or an </w:t>
      </w:r>
      <w:r w:rsidRPr="00C9399A">
        <w:rPr>
          <w:rFonts w:ascii="Century Schoolbook" w:hAnsi="Century Schoolbook"/>
          <w:bCs/>
          <w:i/>
          <w:iCs/>
          <w:kern w:val="0"/>
          <w:sz w:val="22"/>
          <w:szCs w:val="22"/>
        </w:rPr>
        <w:t xml:space="preserve">in vitro </w:t>
      </w:r>
      <w:r w:rsidRPr="00C9399A">
        <w:rPr>
          <w:rFonts w:ascii="Century Schoolbook" w:hAnsi="Century Schoolbook"/>
          <w:bCs/>
          <w:kern w:val="0"/>
          <w:sz w:val="22"/>
          <w:szCs w:val="22"/>
        </w:rPr>
        <w:t xml:space="preserve">mouse lymphoma </w:t>
      </w:r>
      <w:proofErr w:type="spellStart"/>
      <w:r w:rsidRPr="00C9399A">
        <w:rPr>
          <w:rFonts w:ascii="Century Schoolbook" w:hAnsi="Century Schoolbook"/>
          <w:bCs/>
          <w:i/>
          <w:kern w:val="0"/>
          <w:sz w:val="22"/>
          <w:szCs w:val="22"/>
        </w:rPr>
        <w:t>Tk</w:t>
      </w:r>
      <w:proofErr w:type="spellEnd"/>
      <w:r w:rsidRPr="00C9399A">
        <w:rPr>
          <w:rFonts w:ascii="Century Schoolbook" w:hAnsi="Century Schoolbook"/>
          <w:bCs/>
          <w:kern w:val="0"/>
          <w:sz w:val="22"/>
          <w:szCs w:val="22"/>
        </w:rPr>
        <w:t xml:space="preserve"> gene mutation assay.</w:t>
      </w:r>
    </w:p>
    <w:p w:rsidR="001D26BE" w:rsidRPr="00C9399A" w:rsidRDefault="001D26BE" w:rsidP="004235DD">
      <w:pPr>
        <w:numPr>
          <w:ilvl w:val="0"/>
          <w:numId w:val="4"/>
        </w:numPr>
        <w:autoSpaceDE w:val="0"/>
        <w:autoSpaceDN w:val="0"/>
        <w:adjustRightInd w:val="0"/>
        <w:spacing w:after="120"/>
        <w:ind w:hanging="360"/>
        <w:textAlignment w:val="bottom"/>
        <w:rPr>
          <w:rFonts w:ascii="Century Schoolbook" w:hAnsi="Century Schoolbook"/>
          <w:bCs/>
          <w:kern w:val="0"/>
          <w:sz w:val="22"/>
          <w:szCs w:val="22"/>
        </w:rPr>
      </w:pPr>
      <w:r w:rsidRPr="00C9399A">
        <w:rPr>
          <w:rFonts w:ascii="Century Schoolbook" w:hAnsi="Century Schoolbook"/>
          <w:bCs/>
          <w:kern w:val="0"/>
          <w:sz w:val="22"/>
          <w:szCs w:val="22"/>
        </w:rPr>
        <w:t xml:space="preserve">An </w:t>
      </w:r>
      <w:r w:rsidRPr="00C9399A">
        <w:rPr>
          <w:rFonts w:ascii="Century Schoolbook" w:hAnsi="Century Schoolbook"/>
          <w:bCs/>
          <w:i/>
          <w:kern w:val="0"/>
          <w:sz w:val="22"/>
          <w:szCs w:val="22"/>
        </w:rPr>
        <w:t>in vivo</w:t>
      </w:r>
      <w:r w:rsidRPr="00C9399A">
        <w:rPr>
          <w:rFonts w:ascii="Century Schoolbook" w:hAnsi="Century Schoolbook"/>
          <w:bCs/>
          <w:kern w:val="0"/>
          <w:sz w:val="22"/>
          <w:szCs w:val="22"/>
        </w:rPr>
        <w:t xml:space="preserve"> test for </w:t>
      </w:r>
      <w:proofErr w:type="spellStart"/>
      <w:r w:rsidRPr="00C9399A">
        <w:rPr>
          <w:rFonts w:ascii="Century Schoolbook" w:hAnsi="Century Schoolbook"/>
          <w:bCs/>
          <w:kern w:val="0"/>
          <w:sz w:val="22"/>
          <w:szCs w:val="22"/>
        </w:rPr>
        <w:t>genotoxicity</w:t>
      </w:r>
      <w:proofErr w:type="spellEnd"/>
      <w:r w:rsidRPr="00C9399A">
        <w:rPr>
          <w:rFonts w:ascii="Century Schoolbook" w:hAnsi="Century Schoolbook"/>
          <w:bCs/>
          <w:kern w:val="0"/>
          <w:sz w:val="22"/>
          <w:szCs w:val="22"/>
        </w:rPr>
        <w:t>, generally a test for chromosomal damage using rodent hematopoietic cells, either for micronuclei or for chromosomal aberrations in metaphase cells.</w:t>
      </w:r>
    </w:p>
    <w:p w:rsidR="001D26BE" w:rsidRPr="00C9399A" w:rsidRDefault="001D26BE" w:rsidP="00E44012">
      <w:pPr>
        <w:autoSpaceDE w:val="0"/>
        <w:autoSpaceDN w:val="0"/>
        <w:adjustRightInd w:val="0"/>
        <w:spacing w:after="120"/>
        <w:textAlignment w:val="bottom"/>
        <w:rPr>
          <w:rFonts w:ascii="Century Schoolbook" w:hAnsi="Century Schoolbook"/>
          <w:bCs/>
          <w:kern w:val="0"/>
          <w:sz w:val="22"/>
          <w:szCs w:val="22"/>
          <w:u w:val="single"/>
        </w:rPr>
      </w:pPr>
      <w:r w:rsidRPr="00C9399A">
        <w:rPr>
          <w:rFonts w:ascii="Century Schoolbook" w:hAnsi="Century Schoolbook"/>
          <w:bCs/>
          <w:kern w:val="0"/>
          <w:sz w:val="22"/>
          <w:szCs w:val="22"/>
          <w:u w:val="single"/>
        </w:rPr>
        <w:t>Option 2</w:t>
      </w:r>
    </w:p>
    <w:p w:rsidR="001D26BE" w:rsidRPr="00C9399A" w:rsidRDefault="001D26BE" w:rsidP="004235DD">
      <w:pPr>
        <w:numPr>
          <w:ilvl w:val="0"/>
          <w:numId w:val="3"/>
        </w:numPr>
        <w:autoSpaceDE w:val="0"/>
        <w:autoSpaceDN w:val="0"/>
        <w:adjustRightInd w:val="0"/>
        <w:spacing w:after="120"/>
        <w:ind w:hanging="360"/>
        <w:textAlignment w:val="bottom"/>
        <w:rPr>
          <w:rFonts w:ascii="Century Schoolbook" w:hAnsi="Century Schoolbook"/>
          <w:bCs/>
          <w:kern w:val="0"/>
          <w:sz w:val="22"/>
          <w:szCs w:val="22"/>
        </w:rPr>
      </w:pPr>
      <w:r w:rsidRPr="00C9399A">
        <w:rPr>
          <w:rFonts w:ascii="Century Schoolbook" w:hAnsi="Century Schoolbook"/>
          <w:bCs/>
          <w:kern w:val="0"/>
          <w:sz w:val="22"/>
          <w:szCs w:val="22"/>
        </w:rPr>
        <w:t>A test for gene mutation in bacteria.</w:t>
      </w:r>
    </w:p>
    <w:p w:rsidR="001D26BE" w:rsidRPr="00C9399A" w:rsidRDefault="001D26BE" w:rsidP="004235DD">
      <w:pPr>
        <w:numPr>
          <w:ilvl w:val="0"/>
          <w:numId w:val="3"/>
        </w:numPr>
        <w:autoSpaceDE w:val="0"/>
        <w:autoSpaceDN w:val="0"/>
        <w:adjustRightInd w:val="0"/>
        <w:spacing w:after="120"/>
        <w:ind w:hanging="360"/>
        <w:textAlignment w:val="bottom"/>
        <w:rPr>
          <w:rFonts w:ascii="Century Schoolbook" w:hAnsi="Century Schoolbook"/>
          <w:bCs/>
          <w:kern w:val="0"/>
          <w:sz w:val="22"/>
          <w:szCs w:val="22"/>
        </w:rPr>
      </w:pPr>
      <w:r w:rsidRPr="00C9399A">
        <w:rPr>
          <w:rFonts w:ascii="Century Schoolbook" w:hAnsi="Century Schoolbook"/>
          <w:bCs/>
          <w:kern w:val="0"/>
          <w:sz w:val="22"/>
          <w:szCs w:val="22"/>
        </w:rPr>
        <w:t xml:space="preserve">An </w:t>
      </w:r>
      <w:r w:rsidRPr="00C9399A">
        <w:rPr>
          <w:rFonts w:ascii="Century Schoolbook" w:hAnsi="Century Schoolbook"/>
          <w:bCs/>
          <w:i/>
          <w:kern w:val="0"/>
          <w:sz w:val="22"/>
          <w:szCs w:val="22"/>
        </w:rPr>
        <w:t>in vivo</w:t>
      </w:r>
      <w:r w:rsidRPr="00C9399A">
        <w:rPr>
          <w:rFonts w:ascii="Century Schoolbook" w:hAnsi="Century Schoolbook"/>
          <w:bCs/>
          <w:kern w:val="0"/>
          <w:sz w:val="22"/>
          <w:szCs w:val="22"/>
        </w:rPr>
        <w:t xml:space="preserve"> assessment of </w:t>
      </w:r>
      <w:proofErr w:type="spellStart"/>
      <w:r w:rsidRPr="00C9399A">
        <w:rPr>
          <w:rFonts w:ascii="Century Schoolbook" w:hAnsi="Century Schoolbook"/>
          <w:bCs/>
          <w:kern w:val="0"/>
          <w:sz w:val="22"/>
          <w:szCs w:val="22"/>
        </w:rPr>
        <w:t>genotoxicity</w:t>
      </w:r>
      <w:proofErr w:type="spellEnd"/>
      <w:r w:rsidRPr="00C9399A">
        <w:rPr>
          <w:rFonts w:ascii="Century Schoolbook" w:hAnsi="Century Schoolbook"/>
          <w:bCs/>
          <w:kern w:val="0"/>
          <w:sz w:val="22"/>
          <w:szCs w:val="22"/>
        </w:rPr>
        <w:t xml:space="preserve"> with two different tissues, usually an assay for micronuclei using rodent hematopoietic cells and a second </w:t>
      </w:r>
      <w:r w:rsidRPr="00C9399A">
        <w:rPr>
          <w:rFonts w:ascii="Century Schoolbook" w:hAnsi="Century Schoolbook"/>
          <w:bCs/>
          <w:i/>
          <w:kern w:val="0"/>
          <w:sz w:val="22"/>
          <w:szCs w:val="22"/>
        </w:rPr>
        <w:t>in vivo</w:t>
      </w:r>
      <w:r w:rsidRPr="00C9399A">
        <w:rPr>
          <w:rFonts w:ascii="Century Schoolbook" w:hAnsi="Century Schoolbook"/>
          <w:bCs/>
          <w:kern w:val="0"/>
          <w:sz w:val="22"/>
          <w:szCs w:val="22"/>
        </w:rPr>
        <w:t xml:space="preserve"> assay.  Typically this would be a DNA strand breakage assay in liver, unless otherwise justified (see below; also </w:t>
      </w:r>
      <w:r w:rsidR="00DB33C4">
        <w:rPr>
          <w:rFonts w:ascii="Century Schoolbook" w:hAnsi="Century Schoolbook"/>
          <w:bCs/>
          <w:kern w:val="0"/>
          <w:sz w:val="22"/>
          <w:szCs w:val="22"/>
        </w:rPr>
        <w:t>Section</w:t>
      </w:r>
      <w:r w:rsidRPr="00C9399A">
        <w:rPr>
          <w:rFonts w:ascii="Century Schoolbook" w:hAnsi="Century Schoolbook"/>
          <w:bCs/>
          <w:kern w:val="0"/>
          <w:sz w:val="22"/>
          <w:szCs w:val="22"/>
        </w:rPr>
        <w:t xml:space="preserve"> 4.2 and </w:t>
      </w:r>
      <w:r w:rsidR="00DB33C4">
        <w:rPr>
          <w:rFonts w:ascii="Century Schoolbook" w:hAnsi="Century Schoolbook"/>
          <w:bCs/>
          <w:kern w:val="0"/>
          <w:sz w:val="22"/>
          <w:szCs w:val="22"/>
        </w:rPr>
        <w:t>Note</w:t>
      </w:r>
      <w:r w:rsidRPr="00C9399A">
        <w:rPr>
          <w:rFonts w:ascii="Century Schoolbook" w:hAnsi="Century Schoolbook"/>
          <w:bCs/>
          <w:kern w:val="0"/>
          <w:sz w:val="22"/>
          <w:szCs w:val="22"/>
        </w:rPr>
        <w:t xml:space="preserve"> 12).</w:t>
      </w:r>
    </w:p>
    <w:p w:rsidR="001D26BE" w:rsidRPr="00C9399A" w:rsidRDefault="001D26BE" w:rsidP="004A62F4">
      <w:pPr>
        <w:tabs>
          <w:tab w:val="left" w:pos="720"/>
        </w:tabs>
        <w:autoSpaceDE w:val="0"/>
        <w:autoSpaceDN w:val="0"/>
        <w:adjustRightInd w:val="0"/>
        <w:spacing w:after="120"/>
        <w:textAlignment w:val="bottom"/>
        <w:rPr>
          <w:rFonts w:ascii="Century Schoolbook" w:hAnsi="Century Schoolbook"/>
          <w:kern w:val="0"/>
          <w:sz w:val="22"/>
          <w:szCs w:val="22"/>
        </w:rPr>
      </w:pPr>
      <w:r w:rsidRPr="00C9399A">
        <w:rPr>
          <w:rFonts w:ascii="Century Schoolbook" w:hAnsi="Century Schoolbook"/>
          <w:kern w:val="0"/>
          <w:sz w:val="22"/>
          <w:szCs w:val="22"/>
        </w:rPr>
        <w:t xml:space="preserve">There is more historical experience with Option 1, partly because it is based on S2A and B. Nevertheless, the reasoning behind considering Options 1 and 2 equally acceptable is as follows: When a positive result occurs in an </w:t>
      </w:r>
      <w:r w:rsidRPr="00C9399A">
        <w:rPr>
          <w:rFonts w:ascii="Century Schoolbook" w:hAnsi="Century Schoolbook"/>
          <w:i/>
          <w:kern w:val="0"/>
          <w:sz w:val="22"/>
          <w:szCs w:val="22"/>
        </w:rPr>
        <w:t>in vitro</w:t>
      </w:r>
      <w:r w:rsidRPr="00C9399A">
        <w:rPr>
          <w:rFonts w:ascii="Century Schoolbook" w:hAnsi="Century Schoolbook"/>
          <w:kern w:val="0"/>
          <w:sz w:val="22"/>
          <w:szCs w:val="22"/>
        </w:rPr>
        <w:t xml:space="preserve"> mammalian cell assay, clearly negative results in two well conducted </w:t>
      </w:r>
      <w:r w:rsidRPr="00C9399A">
        <w:rPr>
          <w:rFonts w:ascii="Century Schoolbook" w:hAnsi="Century Schoolbook"/>
          <w:i/>
          <w:iCs/>
          <w:kern w:val="0"/>
          <w:sz w:val="22"/>
          <w:szCs w:val="22"/>
        </w:rPr>
        <w:t>in vivo</w:t>
      </w:r>
      <w:r w:rsidRPr="00C9399A">
        <w:rPr>
          <w:rFonts w:ascii="Century Schoolbook" w:hAnsi="Century Schoolbook"/>
          <w:kern w:val="0"/>
          <w:sz w:val="22"/>
          <w:szCs w:val="22"/>
        </w:rPr>
        <w:t xml:space="preserve"> assays, in appropriate tissues and with demonstrated adequate exposure, are considered sufficient evidence for lack of </w:t>
      </w:r>
      <w:proofErr w:type="spellStart"/>
      <w:r w:rsidRPr="00C9399A">
        <w:rPr>
          <w:rFonts w:ascii="Century Schoolbook" w:hAnsi="Century Schoolbook"/>
          <w:kern w:val="0"/>
          <w:sz w:val="22"/>
          <w:szCs w:val="22"/>
        </w:rPr>
        <w:t>genotoxic</w:t>
      </w:r>
      <w:proofErr w:type="spellEnd"/>
      <w:r w:rsidRPr="00C9399A">
        <w:rPr>
          <w:rFonts w:ascii="Century Schoolbook" w:hAnsi="Century Schoolbook"/>
          <w:kern w:val="0"/>
          <w:sz w:val="22"/>
          <w:szCs w:val="22"/>
        </w:rPr>
        <w:t xml:space="preserve"> potential </w:t>
      </w:r>
      <w:r w:rsidRPr="00C9399A">
        <w:rPr>
          <w:rFonts w:ascii="Century Schoolbook" w:hAnsi="Century Schoolbook"/>
          <w:i/>
          <w:iCs/>
          <w:kern w:val="0"/>
          <w:sz w:val="22"/>
          <w:szCs w:val="22"/>
        </w:rPr>
        <w:t>in vivo</w:t>
      </w:r>
      <w:r w:rsidRPr="00C9399A">
        <w:rPr>
          <w:rFonts w:ascii="Century Schoolbook" w:hAnsi="Century Schoolbook"/>
          <w:kern w:val="0"/>
          <w:sz w:val="22"/>
          <w:szCs w:val="22"/>
        </w:rPr>
        <w:t xml:space="preserve"> (see </w:t>
      </w:r>
      <w:r w:rsidR="00DB33C4">
        <w:rPr>
          <w:rFonts w:ascii="Century Schoolbook" w:hAnsi="Century Schoolbook"/>
          <w:kern w:val="0"/>
          <w:sz w:val="22"/>
          <w:szCs w:val="22"/>
        </w:rPr>
        <w:t>Section</w:t>
      </w:r>
      <w:r w:rsidRPr="00C9399A">
        <w:rPr>
          <w:rFonts w:ascii="Century Schoolbook" w:hAnsi="Century Schoolbook"/>
          <w:kern w:val="0"/>
          <w:sz w:val="22"/>
          <w:szCs w:val="22"/>
        </w:rPr>
        <w:t xml:space="preserve"> 5.4.1.1 below). Thus a test strategy in which two </w:t>
      </w:r>
      <w:r w:rsidRPr="00C9399A">
        <w:rPr>
          <w:rFonts w:ascii="Century Schoolbook" w:hAnsi="Century Schoolbook"/>
          <w:i/>
          <w:iCs/>
          <w:kern w:val="0"/>
          <w:sz w:val="22"/>
          <w:szCs w:val="22"/>
        </w:rPr>
        <w:t>in vivo</w:t>
      </w:r>
      <w:r w:rsidRPr="00C9399A">
        <w:rPr>
          <w:rFonts w:ascii="Century Schoolbook" w:hAnsi="Century Schoolbook"/>
          <w:kern w:val="0"/>
          <w:sz w:val="22"/>
          <w:szCs w:val="22"/>
        </w:rPr>
        <w:t xml:space="preserve"> assays are conducted is the same strategy that would be used to follow up a positive result </w:t>
      </w:r>
      <w:r w:rsidRPr="00C9399A">
        <w:rPr>
          <w:rFonts w:ascii="Century Schoolbook" w:hAnsi="Century Schoolbook"/>
          <w:i/>
          <w:iCs/>
          <w:kern w:val="0"/>
          <w:sz w:val="22"/>
          <w:szCs w:val="22"/>
        </w:rPr>
        <w:t>in vitro</w:t>
      </w:r>
      <w:r w:rsidRPr="00C9399A">
        <w:rPr>
          <w:rFonts w:ascii="Century Schoolbook" w:hAnsi="Century Schoolbook"/>
          <w:iCs/>
          <w:kern w:val="0"/>
          <w:sz w:val="22"/>
          <w:szCs w:val="22"/>
        </w:rPr>
        <w:t xml:space="preserve"> (</w:t>
      </w:r>
      <w:r w:rsidR="00DB33C4">
        <w:rPr>
          <w:rFonts w:ascii="Century Schoolbook" w:hAnsi="Century Schoolbook"/>
          <w:iCs/>
          <w:kern w:val="0"/>
          <w:sz w:val="22"/>
          <w:szCs w:val="22"/>
        </w:rPr>
        <w:t>Note</w:t>
      </w:r>
      <w:r w:rsidRPr="00C9399A">
        <w:rPr>
          <w:rFonts w:ascii="Century Schoolbook" w:hAnsi="Century Schoolbook"/>
          <w:iCs/>
          <w:kern w:val="0"/>
          <w:sz w:val="22"/>
          <w:szCs w:val="22"/>
        </w:rPr>
        <w:t xml:space="preserve"> </w:t>
      </w:r>
      <w:r w:rsidR="00CA4159" w:rsidRPr="00C9399A">
        <w:rPr>
          <w:rFonts w:ascii="Century Schoolbook" w:hAnsi="Century Schoolbook"/>
          <w:iCs/>
          <w:kern w:val="0"/>
          <w:sz w:val="22"/>
          <w:szCs w:val="22"/>
        </w:rPr>
        <w:t>4</w:t>
      </w:r>
      <w:r w:rsidRPr="00C9399A">
        <w:rPr>
          <w:rFonts w:ascii="Century Schoolbook" w:hAnsi="Century Schoolbook"/>
          <w:iCs/>
          <w:kern w:val="0"/>
          <w:sz w:val="22"/>
          <w:szCs w:val="22"/>
        </w:rPr>
        <w:t>)</w:t>
      </w:r>
      <w:r w:rsidR="004A62F4" w:rsidRPr="00C9399A">
        <w:rPr>
          <w:rFonts w:ascii="Century Schoolbook" w:hAnsi="Century Schoolbook"/>
          <w:kern w:val="0"/>
          <w:sz w:val="22"/>
          <w:szCs w:val="22"/>
        </w:rPr>
        <w:t>.</w:t>
      </w:r>
    </w:p>
    <w:p w:rsidR="001D26BE" w:rsidRPr="00C9399A" w:rsidRDefault="001D26BE" w:rsidP="004A62F4">
      <w:pPr>
        <w:tabs>
          <w:tab w:val="left" w:pos="0"/>
        </w:tabs>
        <w:autoSpaceDE w:val="0"/>
        <w:autoSpaceDN w:val="0"/>
        <w:adjustRightInd w:val="0"/>
        <w:spacing w:after="120"/>
        <w:textAlignment w:val="bottom"/>
        <w:rPr>
          <w:rFonts w:ascii="Century Schoolbook" w:hAnsi="Century Schoolbook"/>
          <w:bCs/>
          <w:kern w:val="0"/>
          <w:sz w:val="22"/>
          <w:szCs w:val="22"/>
        </w:rPr>
      </w:pPr>
      <w:r w:rsidRPr="00C9399A">
        <w:rPr>
          <w:rFonts w:ascii="Century Schoolbook" w:hAnsi="Century Schoolbook"/>
          <w:kern w:val="0"/>
          <w:sz w:val="22"/>
          <w:szCs w:val="22"/>
        </w:rPr>
        <w:t xml:space="preserve">Under both standard battery options, either acute or repeat dose study designs </w:t>
      </w:r>
      <w:r w:rsidRPr="00C9399A">
        <w:rPr>
          <w:rFonts w:ascii="Century Schoolbook" w:hAnsi="Century Schoolbook"/>
          <w:i/>
          <w:kern w:val="0"/>
          <w:sz w:val="22"/>
          <w:szCs w:val="22"/>
        </w:rPr>
        <w:t>in vivo</w:t>
      </w:r>
      <w:r w:rsidRPr="00C9399A">
        <w:rPr>
          <w:rFonts w:ascii="Century Schoolbook" w:hAnsi="Century Schoolbook"/>
          <w:kern w:val="0"/>
          <w:sz w:val="22"/>
          <w:szCs w:val="22"/>
        </w:rPr>
        <w:t xml:space="preserve"> can be used.  In case of repeated administrations, attempts should be made to incorporate the </w:t>
      </w:r>
      <w:proofErr w:type="spellStart"/>
      <w:r w:rsidRPr="00C9399A">
        <w:rPr>
          <w:rFonts w:ascii="Century Schoolbook" w:hAnsi="Century Schoolbook"/>
          <w:kern w:val="0"/>
          <w:sz w:val="22"/>
          <w:szCs w:val="22"/>
        </w:rPr>
        <w:t>genotoxicity</w:t>
      </w:r>
      <w:proofErr w:type="spellEnd"/>
      <w:r w:rsidRPr="00C9399A">
        <w:rPr>
          <w:rFonts w:ascii="Century Schoolbook" w:hAnsi="Century Schoolbook"/>
          <w:kern w:val="0"/>
          <w:sz w:val="22"/>
          <w:szCs w:val="22"/>
        </w:rPr>
        <w:t xml:space="preserve"> endpoints into toxicity studies, if scientifically justified.  When more than one endpoint is evaluated </w:t>
      </w:r>
      <w:r w:rsidRPr="00C9399A">
        <w:rPr>
          <w:rFonts w:ascii="Century Schoolbook" w:hAnsi="Century Schoolbook"/>
          <w:i/>
          <w:kern w:val="0"/>
          <w:sz w:val="22"/>
          <w:szCs w:val="22"/>
        </w:rPr>
        <w:t>in vivo</w:t>
      </w:r>
      <w:r w:rsidRPr="00C9399A">
        <w:rPr>
          <w:rFonts w:ascii="Century Schoolbook" w:hAnsi="Century Schoolbook"/>
          <w:kern w:val="0"/>
          <w:sz w:val="22"/>
          <w:szCs w:val="22"/>
        </w:rPr>
        <w:t xml:space="preserve"> it is preferable that they are incorporated into a single study.  O</w:t>
      </w:r>
      <w:r w:rsidRPr="00C9399A">
        <w:rPr>
          <w:rFonts w:ascii="Century Schoolbook" w:hAnsi="Century Schoolbook"/>
          <w:bCs/>
          <w:kern w:val="0"/>
          <w:sz w:val="22"/>
          <w:szCs w:val="22"/>
        </w:rPr>
        <w:t>ften sufficient information on the likely suitability of the doses for the repeat-dose toxicology study is available before the study begins and can be used to determine whether an acute or an integrated test will be suitable.</w:t>
      </w:r>
    </w:p>
    <w:p w:rsidR="004A62F4" w:rsidRPr="00C9399A" w:rsidRDefault="001D26BE" w:rsidP="004A62F4">
      <w:pPr>
        <w:tabs>
          <w:tab w:val="left" w:pos="720"/>
        </w:tabs>
        <w:autoSpaceDE w:val="0"/>
        <w:autoSpaceDN w:val="0"/>
        <w:adjustRightInd w:val="0"/>
        <w:spacing w:after="120"/>
        <w:textAlignment w:val="bottom"/>
        <w:rPr>
          <w:rFonts w:ascii="Century Schoolbook" w:hAnsi="Century Schoolbook"/>
          <w:kern w:val="0"/>
          <w:sz w:val="22"/>
          <w:szCs w:val="22"/>
        </w:rPr>
      </w:pPr>
      <w:r w:rsidRPr="00C9399A">
        <w:rPr>
          <w:rFonts w:ascii="Century Schoolbook" w:hAnsi="Century Schoolbook"/>
          <w:kern w:val="0"/>
          <w:sz w:val="22"/>
          <w:szCs w:val="22"/>
        </w:rPr>
        <w:t xml:space="preserve">For compounds that give negative results, the completion of either option of the standard test battery, performed and evaluated in accordance with current recommendations, will usually provide sufficient assurance of the absence of </w:t>
      </w:r>
      <w:proofErr w:type="spellStart"/>
      <w:r w:rsidRPr="00C9399A">
        <w:rPr>
          <w:rFonts w:ascii="Century Schoolbook" w:hAnsi="Century Schoolbook"/>
          <w:kern w:val="0"/>
          <w:sz w:val="22"/>
          <w:szCs w:val="22"/>
        </w:rPr>
        <w:t>genotoxic</w:t>
      </w:r>
      <w:proofErr w:type="spellEnd"/>
      <w:r w:rsidRPr="00C9399A">
        <w:rPr>
          <w:rFonts w:ascii="Century Schoolbook" w:hAnsi="Century Schoolbook"/>
          <w:kern w:val="0"/>
          <w:sz w:val="22"/>
          <w:szCs w:val="22"/>
        </w:rPr>
        <w:t xml:space="preserve"> activity and no additional tests are warranted.  Compounds that give positive results in the standard test battery might, depending on their therapeutic use, need to be tested more extensively (see </w:t>
      </w:r>
      <w:r w:rsidR="00DB33C4">
        <w:rPr>
          <w:rFonts w:ascii="Century Schoolbook" w:hAnsi="Century Schoolbook"/>
          <w:kern w:val="0"/>
          <w:sz w:val="22"/>
          <w:szCs w:val="22"/>
        </w:rPr>
        <w:t>Section</w:t>
      </w:r>
      <w:r w:rsidRPr="00C9399A">
        <w:rPr>
          <w:rFonts w:ascii="Century Schoolbook" w:hAnsi="Century Schoolbook"/>
          <w:kern w:val="0"/>
          <w:sz w:val="22"/>
          <w:szCs w:val="22"/>
        </w:rPr>
        <w:t xml:space="preserve"> 5).</w:t>
      </w:r>
    </w:p>
    <w:p w:rsidR="001D26BE" w:rsidRPr="00C9399A" w:rsidRDefault="001D26BE" w:rsidP="004A62F4">
      <w:pPr>
        <w:tabs>
          <w:tab w:val="left" w:pos="720"/>
        </w:tabs>
        <w:autoSpaceDE w:val="0"/>
        <w:autoSpaceDN w:val="0"/>
        <w:adjustRightInd w:val="0"/>
        <w:spacing w:after="120"/>
        <w:textAlignment w:val="bottom"/>
        <w:rPr>
          <w:rFonts w:ascii="Century Schoolbook" w:hAnsi="Century Schoolbook"/>
          <w:kern w:val="0"/>
          <w:sz w:val="22"/>
          <w:szCs w:val="22"/>
        </w:rPr>
      </w:pPr>
      <w:r w:rsidRPr="00C9399A">
        <w:rPr>
          <w:rFonts w:ascii="Century Schoolbook" w:hAnsi="Century Schoolbook"/>
          <w:kern w:val="0"/>
          <w:sz w:val="22"/>
          <w:szCs w:val="22"/>
        </w:rPr>
        <w:t xml:space="preserve">There are several </w:t>
      </w:r>
      <w:r w:rsidRPr="00C9399A">
        <w:rPr>
          <w:rFonts w:ascii="Century Schoolbook" w:hAnsi="Century Schoolbook"/>
          <w:i/>
          <w:kern w:val="0"/>
          <w:sz w:val="22"/>
          <w:szCs w:val="22"/>
        </w:rPr>
        <w:t>in vivo</w:t>
      </w:r>
      <w:r w:rsidRPr="00C9399A">
        <w:rPr>
          <w:rFonts w:ascii="Century Schoolbook" w:hAnsi="Century Schoolbook"/>
          <w:kern w:val="0"/>
          <w:sz w:val="22"/>
          <w:szCs w:val="22"/>
        </w:rPr>
        <w:t xml:space="preserve"> assays that can be used as the second part of the </w:t>
      </w:r>
      <w:r w:rsidRPr="00C9399A">
        <w:rPr>
          <w:rFonts w:ascii="Century Schoolbook" w:hAnsi="Century Schoolbook"/>
          <w:i/>
          <w:kern w:val="0"/>
          <w:sz w:val="22"/>
          <w:szCs w:val="22"/>
        </w:rPr>
        <w:t>in vivo</w:t>
      </w:r>
      <w:r w:rsidRPr="00C9399A">
        <w:rPr>
          <w:rFonts w:ascii="Century Schoolbook" w:hAnsi="Century Schoolbook"/>
          <w:kern w:val="0"/>
          <w:sz w:val="22"/>
          <w:szCs w:val="22"/>
        </w:rPr>
        <w:t xml:space="preserve"> assessment under </w:t>
      </w:r>
      <w:r w:rsidR="003C1715">
        <w:rPr>
          <w:rFonts w:ascii="Century Schoolbook" w:hAnsi="Century Schoolbook"/>
          <w:kern w:val="0"/>
          <w:sz w:val="22"/>
          <w:szCs w:val="22"/>
        </w:rPr>
        <w:t>O</w:t>
      </w:r>
      <w:r w:rsidRPr="00C9399A">
        <w:rPr>
          <w:rFonts w:ascii="Century Schoolbook" w:hAnsi="Century Schoolbook"/>
          <w:kern w:val="0"/>
          <w:sz w:val="22"/>
          <w:szCs w:val="22"/>
        </w:rPr>
        <w:t xml:space="preserve">ption 2 (see </w:t>
      </w:r>
      <w:r w:rsidR="00DB33C4">
        <w:rPr>
          <w:rFonts w:ascii="Century Schoolbook" w:hAnsi="Century Schoolbook"/>
          <w:kern w:val="0"/>
          <w:sz w:val="22"/>
          <w:szCs w:val="22"/>
        </w:rPr>
        <w:t>Section</w:t>
      </w:r>
      <w:r w:rsidRPr="00C9399A">
        <w:rPr>
          <w:rFonts w:ascii="Century Schoolbook" w:hAnsi="Century Schoolbook"/>
          <w:kern w:val="0"/>
          <w:sz w:val="22"/>
          <w:szCs w:val="22"/>
        </w:rPr>
        <w:t xml:space="preserve"> 4.2), some of which can be integrated into repeat-dose toxicology studies.  The liver is typically the preferred tissue because of exposure and metabolizing capacity, but choice of </w:t>
      </w:r>
      <w:r w:rsidRPr="00C9399A">
        <w:rPr>
          <w:rFonts w:ascii="Century Schoolbook" w:hAnsi="Century Schoolbook"/>
          <w:i/>
          <w:kern w:val="0"/>
          <w:sz w:val="22"/>
          <w:szCs w:val="22"/>
        </w:rPr>
        <w:t>in vivo</w:t>
      </w:r>
      <w:r w:rsidRPr="00C9399A">
        <w:rPr>
          <w:rFonts w:ascii="Century Schoolbook" w:hAnsi="Century Schoolbook"/>
          <w:kern w:val="0"/>
          <w:sz w:val="22"/>
          <w:szCs w:val="22"/>
        </w:rPr>
        <w:t xml:space="preserve"> tissue and assay should be based on factors such as any knowledge of the potential mechanism, of the metabolism </w:t>
      </w:r>
      <w:r w:rsidRPr="00C9399A">
        <w:rPr>
          <w:rFonts w:ascii="Century Schoolbook" w:hAnsi="Century Schoolbook"/>
          <w:i/>
          <w:kern w:val="0"/>
          <w:sz w:val="22"/>
          <w:szCs w:val="22"/>
        </w:rPr>
        <w:t>in vivo</w:t>
      </w:r>
      <w:r w:rsidRPr="00C9399A">
        <w:rPr>
          <w:rFonts w:ascii="Century Schoolbook" w:hAnsi="Century Schoolbook"/>
          <w:kern w:val="0"/>
          <w:sz w:val="22"/>
          <w:szCs w:val="22"/>
        </w:rPr>
        <w:t xml:space="preserve">, or of the exposed tissues thought to be relevant. </w:t>
      </w:r>
    </w:p>
    <w:p w:rsidR="001D26BE" w:rsidRPr="00C9399A" w:rsidRDefault="001D26BE" w:rsidP="004A62F4">
      <w:pPr>
        <w:autoSpaceDE w:val="0"/>
        <w:autoSpaceDN w:val="0"/>
        <w:adjustRightInd w:val="0"/>
        <w:spacing w:after="120"/>
        <w:textAlignment w:val="bottom"/>
        <w:rPr>
          <w:rFonts w:ascii="Century Schoolbook" w:hAnsi="Century Schoolbook"/>
          <w:kern w:val="0"/>
          <w:sz w:val="22"/>
          <w:szCs w:val="22"/>
        </w:rPr>
      </w:pPr>
      <w:r w:rsidRPr="00C9399A">
        <w:rPr>
          <w:rFonts w:ascii="Century Schoolbook" w:hAnsi="Century Schoolbook"/>
          <w:kern w:val="0"/>
          <w:sz w:val="22"/>
          <w:szCs w:val="22"/>
        </w:rPr>
        <w:t xml:space="preserve">Information on numerical changes can be derived from the mammalian cell assays </w:t>
      </w:r>
      <w:r w:rsidRPr="00C9399A">
        <w:rPr>
          <w:rFonts w:ascii="Century Schoolbook" w:hAnsi="Century Schoolbook"/>
          <w:i/>
          <w:iCs/>
          <w:kern w:val="0"/>
          <w:sz w:val="22"/>
          <w:szCs w:val="22"/>
        </w:rPr>
        <w:t xml:space="preserve">in vitro </w:t>
      </w:r>
      <w:r w:rsidRPr="00C9399A">
        <w:rPr>
          <w:rFonts w:ascii="Century Schoolbook" w:hAnsi="Century Schoolbook"/>
          <w:kern w:val="0"/>
          <w:sz w:val="22"/>
          <w:szCs w:val="22"/>
        </w:rPr>
        <w:t xml:space="preserve">and from the micronucleus assays </w:t>
      </w:r>
      <w:r w:rsidRPr="00C9399A">
        <w:rPr>
          <w:rFonts w:ascii="Century Schoolbook" w:hAnsi="Century Schoolbook"/>
          <w:i/>
          <w:kern w:val="0"/>
          <w:sz w:val="22"/>
          <w:szCs w:val="22"/>
        </w:rPr>
        <w:t>in vitro</w:t>
      </w:r>
      <w:r w:rsidRPr="00C9399A">
        <w:rPr>
          <w:rFonts w:ascii="Century Schoolbook" w:hAnsi="Century Schoolbook"/>
          <w:kern w:val="0"/>
          <w:sz w:val="22"/>
          <w:szCs w:val="22"/>
        </w:rPr>
        <w:t xml:space="preserve"> or</w:t>
      </w:r>
      <w:r w:rsidRPr="00C9399A">
        <w:rPr>
          <w:rFonts w:ascii="Century Schoolbook" w:hAnsi="Century Schoolbook"/>
          <w:i/>
          <w:kern w:val="0"/>
          <w:sz w:val="22"/>
          <w:szCs w:val="22"/>
        </w:rPr>
        <w:t xml:space="preserve"> in vivo</w:t>
      </w:r>
      <w:r w:rsidRPr="00C9399A">
        <w:rPr>
          <w:rFonts w:ascii="Century Schoolbook" w:hAnsi="Century Schoolbook"/>
          <w:kern w:val="0"/>
          <w:sz w:val="22"/>
          <w:szCs w:val="22"/>
        </w:rPr>
        <w:t xml:space="preserve">. Elements of the standard protocols that can indicate such potential are elevations in the mitotic index, polyploidy induction and micronucleus evaluation.  There is also experimental evidence that </w:t>
      </w:r>
      <w:r w:rsidRPr="00C9399A">
        <w:rPr>
          <w:rFonts w:ascii="Century Schoolbook" w:hAnsi="Century Schoolbook"/>
          <w:kern w:val="0"/>
          <w:sz w:val="22"/>
          <w:szCs w:val="22"/>
        </w:rPr>
        <w:lastRenderedPageBreak/>
        <w:t>spindle poisons can be detected in MLA.  T</w:t>
      </w:r>
      <w:r w:rsidRPr="00C9399A">
        <w:rPr>
          <w:rFonts w:ascii="Century Schoolbook" w:hAnsi="Century Schoolbook"/>
          <w:bCs/>
          <w:kern w:val="0"/>
          <w:sz w:val="22"/>
          <w:szCs w:val="22"/>
        </w:rPr>
        <w:t xml:space="preserve">he preferred </w:t>
      </w:r>
      <w:r w:rsidRPr="00C9399A">
        <w:rPr>
          <w:rFonts w:ascii="Century Schoolbook" w:hAnsi="Century Schoolbook"/>
          <w:bCs/>
          <w:i/>
          <w:kern w:val="0"/>
          <w:sz w:val="22"/>
          <w:szCs w:val="22"/>
        </w:rPr>
        <w:t>in vivo</w:t>
      </w:r>
      <w:r w:rsidRPr="00C9399A">
        <w:rPr>
          <w:rFonts w:ascii="Century Schoolbook" w:hAnsi="Century Schoolbook"/>
          <w:bCs/>
          <w:kern w:val="0"/>
          <w:sz w:val="22"/>
          <w:szCs w:val="22"/>
        </w:rPr>
        <w:t xml:space="preserve"> cytogenetic test under Option 2 is the micronucleus assay, not a chromosome aberration assay, </w:t>
      </w:r>
      <w:r w:rsidRPr="00C9399A">
        <w:rPr>
          <w:rFonts w:ascii="Century Schoolbook" w:hAnsi="Century Schoolbook"/>
          <w:kern w:val="0"/>
          <w:sz w:val="22"/>
          <w:szCs w:val="22"/>
        </w:rPr>
        <w:t xml:space="preserve">to include more direct capability for detection of chromosome loss (potential for </w:t>
      </w:r>
      <w:proofErr w:type="spellStart"/>
      <w:r w:rsidRPr="00C9399A">
        <w:rPr>
          <w:rFonts w:ascii="Century Schoolbook" w:hAnsi="Century Schoolbook"/>
          <w:kern w:val="0"/>
          <w:sz w:val="22"/>
          <w:szCs w:val="22"/>
        </w:rPr>
        <w:t>aneuploidy</w:t>
      </w:r>
      <w:proofErr w:type="spellEnd"/>
      <w:r w:rsidRPr="00C9399A">
        <w:rPr>
          <w:rFonts w:ascii="Century Schoolbook" w:hAnsi="Century Schoolbook"/>
          <w:kern w:val="0"/>
          <w:sz w:val="22"/>
          <w:szCs w:val="22"/>
        </w:rPr>
        <w:t>).</w:t>
      </w:r>
    </w:p>
    <w:p w:rsidR="001D26BE" w:rsidRPr="00C9399A" w:rsidRDefault="001D26BE" w:rsidP="00E44012">
      <w:pPr>
        <w:autoSpaceDE w:val="0"/>
        <w:autoSpaceDN w:val="0"/>
        <w:adjustRightInd w:val="0"/>
        <w:spacing w:after="120"/>
        <w:textAlignment w:val="bottom"/>
        <w:rPr>
          <w:rFonts w:ascii="Century Schoolbook" w:hAnsi="Century Schoolbook"/>
          <w:kern w:val="0"/>
          <w:sz w:val="22"/>
          <w:szCs w:val="22"/>
        </w:rPr>
      </w:pPr>
      <w:r w:rsidRPr="00C9399A">
        <w:rPr>
          <w:rFonts w:ascii="Century Schoolbook" w:hAnsi="Century Schoolbook"/>
          <w:kern w:val="0"/>
          <w:sz w:val="22"/>
          <w:szCs w:val="22"/>
        </w:rPr>
        <w:t xml:space="preserve">The suggested standard set of tests does not imply that other </w:t>
      </w:r>
      <w:proofErr w:type="spellStart"/>
      <w:r w:rsidRPr="00C9399A">
        <w:rPr>
          <w:rFonts w:ascii="Century Schoolbook" w:hAnsi="Century Schoolbook"/>
          <w:kern w:val="0"/>
          <w:sz w:val="22"/>
          <w:szCs w:val="22"/>
        </w:rPr>
        <w:t>genotoxicity</w:t>
      </w:r>
      <w:proofErr w:type="spellEnd"/>
      <w:r w:rsidRPr="00C9399A">
        <w:rPr>
          <w:rFonts w:ascii="Century Schoolbook" w:hAnsi="Century Schoolbook"/>
          <w:kern w:val="0"/>
          <w:sz w:val="22"/>
          <w:szCs w:val="22"/>
        </w:rPr>
        <w:t xml:space="preserve"> tests are generally considered inadequate or inappropriate.  Additional tests can be used for further investigation of </w:t>
      </w:r>
      <w:proofErr w:type="spellStart"/>
      <w:r w:rsidRPr="00C9399A">
        <w:rPr>
          <w:rFonts w:ascii="Century Schoolbook" w:hAnsi="Century Schoolbook"/>
          <w:kern w:val="0"/>
          <w:sz w:val="22"/>
          <w:szCs w:val="22"/>
        </w:rPr>
        <w:t>genotoxicity</w:t>
      </w:r>
      <w:proofErr w:type="spellEnd"/>
      <w:r w:rsidRPr="00C9399A">
        <w:rPr>
          <w:rFonts w:ascii="Century Schoolbook" w:hAnsi="Century Schoolbook"/>
          <w:kern w:val="0"/>
          <w:sz w:val="22"/>
          <w:szCs w:val="22"/>
        </w:rPr>
        <w:t xml:space="preserve"> test results obtained in the standard battery (see </w:t>
      </w:r>
      <w:r w:rsidR="00DB33C4">
        <w:rPr>
          <w:rFonts w:ascii="Century Schoolbook" w:hAnsi="Century Schoolbook"/>
          <w:kern w:val="0"/>
          <w:sz w:val="22"/>
          <w:szCs w:val="22"/>
        </w:rPr>
        <w:t>Section</w:t>
      </w:r>
      <w:r w:rsidRPr="00C9399A">
        <w:rPr>
          <w:rFonts w:ascii="Century Schoolbook" w:hAnsi="Century Schoolbook"/>
          <w:kern w:val="0"/>
          <w:sz w:val="22"/>
          <w:szCs w:val="22"/>
        </w:rPr>
        <w:t>s 4.2 and 5).  Alternative species, including non-rodents, can also be used if indicated, and if sufficiently validated.</w:t>
      </w:r>
    </w:p>
    <w:p w:rsidR="001D26BE" w:rsidRPr="00C9399A" w:rsidRDefault="001D26BE" w:rsidP="00E44012">
      <w:pPr>
        <w:autoSpaceDE w:val="0"/>
        <w:autoSpaceDN w:val="0"/>
        <w:adjustRightInd w:val="0"/>
        <w:spacing w:after="120"/>
        <w:textAlignment w:val="bottom"/>
        <w:rPr>
          <w:rFonts w:ascii="Century Schoolbook" w:hAnsi="Century Schoolbook"/>
          <w:kern w:val="0"/>
          <w:sz w:val="22"/>
          <w:szCs w:val="22"/>
        </w:rPr>
      </w:pPr>
      <w:r w:rsidRPr="00C9399A">
        <w:rPr>
          <w:rFonts w:ascii="Century Schoolbook" w:hAnsi="Century Schoolbook"/>
          <w:kern w:val="0"/>
          <w:sz w:val="22"/>
          <w:szCs w:val="22"/>
        </w:rPr>
        <w:t>Under conditions in which one or more tests in the standard battery cannot be employed for technical reasons, alternative validated tests can serve as substitutes provided sufficient scientific justification is given.</w:t>
      </w:r>
    </w:p>
    <w:p w:rsidR="001D26BE" w:rsidRPr="0078046D" w:rsidRDefault="001D26BE" w:rsidP="00AA186A">
      <w:pPr>
        <w:pStyle w:val="Heading2"/>
        <w:numPr>
          <w:ilvl w:val="1"/>
          <w:numId w:val="36"/>
        </w:numPr>
        <w:spacing w:before="180" w:after="120"/>
        <w:ind w:left="720" w:hanging="720"/>
        <w:rPr>
          <w:rFonts w:ascii="Century Schoolbook" w:hAnsi="Century Schoolbook"/>
          <w:i w:val="0"/>
          <w:kern w:val="0"/>
          <w:sz w:val="22"/>
          <w:szCs w:val="22"/>
        </w:rPr>
      </w:pPr>
      <w:bookmarkStart w:id="18" w:name="_Toc309742174"/>
      <w:bookmarkStart w:id="19" w:name="_Toc309835272"/>
      <w:r w:rsidRPr="0078046D">
        <w:rPr>
          <w:rFonts w:ascii="Century Schoolbook" w:hAnsi="Century Schoolbook"/>
          <w:i w:val="0"/>
          <w:kern w:val="0"/>
          <w:sz w:val="22"/>
          <w:szCs w:val="22"/>
        </w:rPr>
        <w:t xml:space="preserve">Modifications </w:t>
      </w:r>
      <w:r w:rsidR="00154C44" w:rsidRPr="0078046D">
        <w:rPr>
          <w:rFonts w:ascii="Century Schoolbook" w:hAnsi="Century Schoolbook"/>
          <w:i w:val="0"/>
          <w:kern w:val="0"/>
          <w:sz w:val="22"/>
          <w:szCs w:val="22"/>
        </w:rPr>
        <w:t>t</w:t>
      </w:r>
      <w:r w:rsidR="001303EB" w:rsidRPr="0078046D">
        <w:rPr>
          <w:rFonts w:ascii="Century Schoolbook" w:hAnsi="Century Schoolbook"/>
          <w:i w:val="0"/>
          <w:kern w:val="0"/>
          <w:sz w:val="22"/>
          <w:szCs w:val="22"/>
        </w:rPr>
        <w:t xml:space="preserve">o </w:t>
      </w:r>
      <w:r w:rsidR="00154C44" w:rsidRPr="0078046D">
        <w:rPr>
          <w:rFonts w:ascii="Century Schoolbook" w:hAnsi="Century Schoolbook"/>
          <w:i w:val="0"/>
          <w:kern w:val="0"/>
          <w:sz w:val="22"/>
          <w:szCs w:val="22"/>
        </w:rPr>
        <w:t>t</w:t>
      </w:r>
      <w:r w:rsidR="001303EB" w:rsidRPr="0078046D">
        <w:rPr>
          <w:rFonts w:ascii="Century Schoolbook" w:hAnsi="Century Schoolbook"/>
          <w:i w:val="0"/>
          <w:kern w:val="0"/>
          <w:sz w:val="22"/>
          <w:szCs w:val="22"/>
        </w:rPr>
        <w:t>he Test Battery</w:t>
      </w:r>
      <w:bookmarkEnd w:id="18"/>
      <w:bookmarkEnd w:id="19"/>
    </w:p>
    <w:p w:rsidR="001D26BE" w:rsidRPr="00C9399A" w:rsidRDefault="001D26BE" w:rsidP="00E44012">
      <w:pPr>
        <w:autoSpaceDE w:val="0"/>
        <w:autoSpaceDN w:val="0"/>
        <w:adjustRightInd w:val="0"/>
        <w:spacing w:after="120"/>
        <w:textAlignment w:val="bottom"/>
        <w:rPr>
          <w:rFonts w:ascii="Century Schoolbook" w:hAnsi="Century Schoolbook"/>
          <w:kern w:val="0"/>
          <w:sz w:val="22"/>
          <w:szCs w:val="22"/>
        </w:rPr>
      </w:pPr>
      <w:r w:rsidRPr="00C9399A">
        <w:rPr>
          <w:rFonts w:ascii="Century Schoolbook" w:hAnsi="Century Schoolbook"/>
          <w:kern w:val="0"/>
          <w:sz w:val="22"/>
          <w:szCs w:val="22"/>
        </w:rPr>
        <w:t xml:space="preserve">The following </w:t>
      </w:r>
      <w:r w:rsidR="00DB33C4">
        <w:rPr>
          <w:rFonts w:ascii="Century Schoolbook" w:hAnsi="Century Schoolbook"/>
          <w:kern w:val="0"/>
          <w:sz w:val="22"/>
          <w:szCs w:val="22"/>
        </w:rPr>
        <w:t>section</w:t>
      </w:r>
      <w:r w:rsidRPr="00C9399A">
        <w:rPr>
          <w:rFonts w:ascii="Century Schoolbook" w:hAnsi="Century Schoolbook"/>
          <w:kern w:val="0"/>
          <w:sz w:val="22"/>
          <w:szCs w:val="22"/>
        </w:rPr>
        <w:t xml:space="preserve">s describe situations where modification of the standard test battery </w:t>
      </w:r>
      <w:bookmarkStart w:id="20" w:name="OLE_LINK7"/>
      <w:bookmarkStart w:id="21" w:name="OLE_LINK8"/>
      <w:r w:rsidRPr="00C9399A">
        <w:rPr>
          <w:rFonts w:ascii="Century Schoolbook" w:hAnsi="Century Schoolbook"/>
          <w:kern w:val="0"/>
          <w:sz w:val="22"/>
          <w:szCs w:val="22"/>
        </w:rPr>
        <w:t>might be advisable.</w:t>
      </w:r>
    </w:p>
    <w:p w:rsidR="001D26BE" w:rsidRPr="008B2ED1" w:rsidRDefault="001D26BE" w:rsidP="008B2ED1">
      <w:pPr>
        <w:pStyle w:val="Heading3"/>
        <w:numPr>
          <w:ilvl w:val="2"/>
          <w:numId w:val="36"/>
        </w:numPr>
        <w:spacing w:before="120"/>
        <w:rPr>
          <w:rFonts w:ascii="Century Schoolbook" w:hAnsi="Century Schoolbook"/>
          <w:i/>
          <w:kern w:val="0"/>
          <w:sz w:val="22"/>
          <w:szCs w:val="22"/>
        </w:rPr>
      </w:pPr>
      <w:bookmarkStart w:id="22" w:name="_Toc309742175"/>
      <w:bookmarkStart w:id="23" w:name="_Toc309835273"/>
      <w:bookmarkEnd w:id="20"/>
      <w:bookmarkEnd w:id="21"/>
      <w:r w:rsidRPr="008B2ED1">
        <w:rPr>
          <w:rFonts w:ascii="Century Schoolbook" w:hAnsi="Century Schoolbook"/>
          <w:i/>
          <w:kern w:val="0"/>
          <w:sz w:val="22"/>
          <w:szCs w:val="22"/>
        </w:rPr>
        <w:t xml:space="preserve">Exploratory </w:t>
      </w:r>
      <w:r w:rsidR="001303EB" w:rsidRPr="008B2ED1">
        <w:rPr>
          <w:rFonts w:ascii="Century Schoolbook" w:hAnsi="Century Schoolbook"/>
          <w:i/>
          <w:kern w:val="0"/>
          <w:sz w:val="22"/>
          <w:szCs w:val="22"/>
        </w:rPr>
        <w:t>Clinical Studies</w:t>
      </w:r>
      <w:bookmarkEnd w:id="22"/>
      <w:bookmarkEnd w:id="23"/>
    </w:p>
    <w:p w:rsidR="001D26BE" w:rsidRPr="00C9399A" w:rsidRDefault="001D26BE" w:rsidP="00E44012">
      <w:pPr>
        <w:autoSpaceDE w:val="0"/>
        <w:autoSpaceDN w:val="0"/>
        <w:adjustRightInd w:val="0"/>
        <w:spacing w:after="120"/>
        <w:textAlignment w:val="bottom"/>
        <w:rPr>
          <w:rFonts w:ascii="Century Schoolbook" w:hAnsi="Century Schoolbook"/>
          <w:kern w:val="0"/>
          <w:sz w:val="22"/>
          <w:szCs w:val="22"/>
        </w:rPr>
      </w:pPr>
      <w:r w:rsidRPr="00C9399A">
        <w:rPr>
          <w:rFonts w:ascii="Century Schoolbook" w:hAnsi="Century Schoolbook"/>
          <w:kern w:val="0"/>
          <w:sz w:val="22"/>
          <w:szCs w:val="22"/>
        </w:rPr>
        <w:t xml:space="preserve">For certain exploratory clinical studies, fewer </w:t>
      </w:r>
      <w:proofErr w:type="spellStart"/>
      <w:r w:rsidRPr="00C9399A">
        <w:rPr>
          <w:rFonts w:ascii="Century Schoolbook" w:hAnsi="Century Schoolbook"/>
          <w:kern w:val="0"/>
          <w:sz w:val="22"/>
          <w:szCs w:val="22"/>
        </w:rPr>
        <w:t>genotoxicity</w:t>
      </w:r>
      <w:proofErr w:type="spellEnd"/>
      <w:r w:rsidRPr="00C9399A">
        <w:rPr>
          <w:rFonts w:ascii="Century Schoolbook" w:hAnsi="Century Schoolbook"/>
          <w:kern w:val="0"/>
          <w:sz w:val="22"/>
          <w:szCs w:val="22"/>
        </w:rPr>
        <w:t xml:space="preserve"> assays or different criteria for justification of the maximum dose </w:t>
      </w:r>
      <w:r w:rsidR="00DB33C4" w:rsidRPr="00DB33C4">
        <w:rPr>
          <w:rFonts w:ascii="Century Schoolbook" w:hAnsi="Century Schoolbook"/>
          <w:i/>
          <w:kern w:val="0"/>
          <w:sz w:val="22"/>
          <w:szCs w:val="22"/>
        </w:rPr>
        <w:t>in vivo</w:t>
      </w:r>
      <w:r w:rsidRPr="00C9399A">
        <w:rPr>
          <w:rFonts w:ascii="Century Schoolbook" w:hAnsi="Century Schoolbook"/>
          <w:kern w:val="0"/>
          <w:sz w:val="22"/>
          <w:szCs w:val="22"/>
        </w:rPr>
        <w:t xml:space="preserve"> might apply (see ICH </w:t>
      </w:r>
      <w:proofErr w:type="gramStart"/>
      <w:r w:rsidRPr="00C9399A">
        <w:rPr>
          <w:rFonts w:ascii="Century Schoolbook" w:hAnsi="Century Schoolbook"/>
          <w:kern w:val="0"/>
          <w:sz w:val="22"/>
          <w:szCs w:val="22"/>
        </w:rPr>
        <w:t>M3(</w:t>
      </w:r>
      <w:proofErr w:type="gramEnd"/>
      <w:r w:rsidRPr="00C9399A">
        <w:rPr>
          <w:rFonts w:ascii="Century Schoolbook" w:hAnsi="Century Schoolbook"/>
          <w:kern w:val="0"/>
          <w:sz w:val="22"/>
          <w:szCs w:val="22"/>
        </w:rPr>
        <w:t>R2) guidance).</w:t>
      </w:r>
    </w:p>
    <w:p w:rsidR="001D26BE" w:rsidRPr="008B2ED1" w:rsidRDefault="001D26BE" w:rsidP="008B2ED1">
      <w:pPr>
        <w:pStyle w:val="Heading3"/>
        <w:numPr>
          <w:ilvl w:val="2"/>
          <w:numId w:val="36"/>
        </w:numPr>
        <w:spacing w:before="120"/>
        <w:rPr>
          <w:rFonts w:ascii="Century Schoolbook" w:hAnsi="Century Schoolbook"/>
          <w:i/>
          <w:kern w:val="0"/>
          <w:sz w:val="22"/>
          <w:szCs w:val="22"/>
        </w:rPr>
      </w:pPr>
      <w:bookmarkStart w:id="24" w:name="_Toc309742176"/>
      <w:bookmarkStart w:id="25" w:name="_Toc309835274"/>
      <w:r w:rsidRPr="008B2ED1">
        <w:rPr>
          <w:rFonts w:ascii="Century Schoolbook" w:hAnsi="Century Schoolbook"/>
          <w:i/>
          <w:kern w:val="0"/>
          <w:sz w:val="22"/>
          <w:szCs w:val="22"/>
        </w:rPr>
        <w:t xml:space="preserve">Testing </w:t>
      </w:r>
      <w:r w:rsidR="001303EB" w:rsidRPr="008B2ED1">
        <w:rPr>
          <w:rFonts w:ascii="Century Schoolbook" w:hAnsi="Century Schoolbook"/>
          <w:i/>
          <w:kern w:val="0"/>
          <w:sz w:val="22"/>
          <w:szCs w:val="22"/>
        </w:rPr>
        <w:t xml:space="preserve">Compounds </w:t>
      </w:r>
      <w:r w:rsidR="00154C44" w:rsidRPr="008B2ED1">
        <w:rPr>
          <w:rFonts w:ascii="Century Schoolbook" w:hAnsi="Century Schoolbook"/>
          <w:i/>
          <w:kern w:val="0"/>
          <w:sz w:val="22"/>
          <w:szCs w:val="22"/>
        </w:rPr>
        <w:t>t</w:t>
      </w:r>
      <w:r w:rsidR="001303EB" w:rsidRPr="008B2ED1">
        <w:rPr>
          <w:rFonts w:ascii="Century Schoolbook" w:hAnsi="Century Schoolbook"/>
          <w:i/>
          <w:kern w:val="0"/>
          <w:sz w:val="22"/>
          <w:szCs w:val="22"/>
        </w:rPr>
        <w:t xml:space="preserve">hat </w:t>
      </w:r>
      <w:r w:rsidR="00154C44" w:rsidRPr="008B2ED1">
        <w:rPr>
          <w:rFonts w:ascii="Century Schoolbook" w:hAnsi="Century Schoolbook"/>
          <w:i/>
          <w:kern w:val="0"/>
          <w:sz w:val="22"/>
          <w:szCs w:val="22"/>
        </w:rPr>
        <w:t>a</w:t>
      </w:r>
      <w:r w:rsidR="001303EB" w:rsidRPr="008B2ED1">
        <w:rPr>
          <w:rFonts w:ascii="Century Schoolbook" w:hAnsi="Century Schoolbook"/>
          <w:i/>
          <w:kern w:val="0"/>
          <w:sz w:val="22"/>
          <w:szCs w:val="22"/>
        </w:rPr>
        <w:t xml:space="preserve">re Toxic </w:t>
      </w:r>
      <w:r w:rsidR="00154C44" w:rsidRPr="008B2ED1">
        <w:rPr>
          <w:rFonts w:ascii="Century Schoolbook" w:hAnsi="Century Schoolbook"/>
          <w:i/>
          <w:kern w:val="0"/>
          <w:sz w:val="22"/>
          <w:szCs w:val="22"/>
        </w:rPr>
        <w:t>t</w:t>
      </w:r>
      <w:r w:rsidR="001303EB" w:rsidRPr="008B2ED1">
        <w:rPr>
          <w:rFonts w:ascii="Century Schoolbook" w:hAnsi="Century Schoolbook"/>
          <w:i/>
          <w:kern w:val="0"/>
          <w:sz w:val="22"/>
          <w:szCs w:val="22"/>
        </w:rPr>
        <w:t>o Bacteria</w:t>
      </w:r>
      <w:bookmarkEnd w:id="24"/>
      <w:bookmarkEnd w:id="25"/>
    </w:p>
    <w:p w:rsidR="001D26BE" w:rsidRPr="00C9399A" w:rsidRDefault="001D26BE" w:rsidP="004A62F4">
      <w:pPr>
        <w:autoSpaceDE w:val="0"/>
        <w:autoSpaceDN w:val="0"/>
        <w:adjustRightInd w:val="0"/>
        <w:spacing w:after="120"/>
        <w:textAlignment w:val="bottom"/>
        <w:rPr>
          <w:rFonts w:ascii="Century Schoolbook" w:hAnsi="Century Schoolbook"/>
          <w:kern w:val="0"/>
          <w:sz w:val="22"/>
          <w:szCs w:val="22"/>
        </w:rPr>
      </w:pPr>
      <w:r w:rsidRPr="00C9399A">
        <w:rPr>
          <w:rFonts w:ascii="Century Schoolbook" w:hAnsi="Century Schoolbook"/>
          <w:kern w:val="0"/>
          <w:sz w:val="22"/>
          <w:szCs w:val="22"/>
        </w:rPr>
        <w:t xml:space="preserve">In cases where compounds are highly toxic to bacteria (e.g., some antibiotics), the bacterial reverse mutation (Ames) test should still be carried out, just as </w:t>
      </w:r>
      <w:proofErr w:type="spellStart"/>
      <w:r w:rsidRPr="00C9399A">
        <w:rPr>
          <w:rFonts w:ascii="Century Schoolbook" w:hAnsi="Century Schoolbook"/>
          <w:kern w:val="0"/>
          <w:sz w:val="22"/>
          <w:szCs w:val="22"/>
        </w:rPr>
        <w:t>cytotoxic</w:t>
      </w:r>
      <w:proofErr w:type="spellEnd"/>
      <w:r w:rsidRPr="00C9399A">
        <w:rPr>
          <w:rFonts w:ascii="Century Schoolbook" w:hAnsi="Century Schoolbook"/>
          <w:kern w:val="0"/>
          <w:sz w:val="22"/>
          <w:szCs w:val="22"/>
        </w:rPr>
        <w:t xml:space="preserve"> compounds are tested in mammalian cells, because </w:t>
      </w:r>
      <w:proofErr w:type="spellStart"/>
      <w:r w:rsidRPr="00C9399A">
        <w:rPr>
          <w:rFonts w:ascii="Century Schoolbook" w:hAnsi="Century Schoolbook"/>
          <w:kern w:val="0"/>
          <w:sz w:val="22"/>
          <w:szCs w:val="22"/>
        </w:rPr>
        <w:t>mutagenicity</w:t>
      </w:r>
      <w:proofErr w:type="spellEnd"/>
      <w:r w:rsidRPr="00C9399A">
        <w:rPr>
          <w:rFonts w:ascii="Century Schoolbook" w:hAnsi="Century Schoolbook"/>
          <w:kern w:val="0"/>
          <w:sz w:val="22"/>
          <w:szCs w:val="22"/>
        </w:rPr>
        <w:t xml:space="preserve"> can occur at lower, less toxic concentrations.  In such cases, any one of the </w:t>
      </w:r>
      <w:r w:rsidRPr="00C9399A">
        <w:rPr>
          <w:rFonts w:ascii="Century Schoolbook" w:hAnsi="Century Schoolbook"/>
          <w:i/>
          <w:kern w:val="0"/>
          <w:sz w:val="22"/>
          <w:szCs w:val="22"/>
        </w:rPr>
        <w:t>in vitro</w:t>
      </w:r>
      <w:r w:rsidRPr="00C9399A">
        <w:rPr>
          <w:rFonts w:ascii="Century Schoolbook" w:hAnsi="Century Schoolbook"/>
          <w:kern w:val="0"/>
          <w:sz w:val="22"/>
          <w:szCs w:val="22"/>
        </w:rPr>
        <w:t xml:space="preserve"> mammalian cell assays should also be done, i.e., Option 1 should be followed.</w:t>
      </w:r>
    </w:p>
    <w:p w:rsidR="001D26BE" w:rsidRPr="008B2ED1" w:rsidRDefault="001D26BE" w:rsidP="008B2ED1">
      <w:pPr>
        <w:pStyle w:val="Heading3"/>
        <w:numPr>
          <w:ilvl w:val="2"/>
          <w:numId w:val="36"/>
        </w:numPr>
        <w:spacing w:before="120"/>
        <w:rPr>
          <w:rFonts w:ascii="Century Schoolbook" w:hAnsi="Century Schoolbook"/>
          <w:kern w:val="0"/>
          <w:sz w:val="22"/>
          <w:szCs w:val="22"/>
        </w:rPr>
      </w:pPr>
      <w:bookmarkStart w:id="26" w:name="_Toc309742177"/>
      <w:bookmarkStart w:id="27" w:name="_Toc309835275"/>
      <w:r w:rsidRPr="008B2ED1">
        <w:rPr>
          <w:rFonts w:ascii="Century Schoolbook" w:hAnsi="Century Schoolbook"/>
          <w:i/>
          <w:kern w:val="0"/>
          <w:sz w:val="22"/>
          <w:szCs w:val="22"/>
        </w:rPr>
        <w:t xml:space="preserve">Compounds </w:t>
      </w:r>
      <w:r w:rsidR="001303EB" w:rsidRPr="008B2ED1">
        <w:rPr>
          <w:rFonts w:ascii="Century Schoolbook" w:hAnsi="Century Schoolbook"/>
          <w:i/>
          <w:kern w:val="0"/>
          <w:sz w:val="22"/>
          <w:szCs w:val="22"/>
        </w:rPr>
        <w:t xml:space="preserve">Bearing Structural Alerts </w:t>
      </w:r>
      <w:r w:rsidR="00154C44" w:rsidRPr="008B2ED1">
        <w:rPr>
          <w:rFonts w:ascii="Century Schoolbook" w:hAnsi="Century Schoolbook"/>
          <w:i/>
          <w:kern w:val="0"/>
          <w:sz w:val="22"/>
          <w:szCs w:val="22"/>
        </w:rPr>
        <w:t>f</w:t>
      </w:r>
      <w:r w:rsidR="001303EB" w:rsidRPr="008B2ED1">
        <w:rPr>
          <w:rFonts w:ascii="Century Schoolbook" w:hAnsi="Century Schoolbook"/>
          <w:i/>
          <w:kern w:val="0"/>
          <w:sz w:val="22"/>
          <w:szCs w:val="22"/>
        </w:rPr>
        <w:t xml:space="preserve">or </w:t>
      </w:r>
      <w:proofErr w:type="spellStart"/>
      <w:r w:rsidR="001303EB" w:rsidRPr="008B2ED1">
        <w:rPr>
          <w:rFonts w:ascii="Century Schoolbook" w:hAnsi="Century Schoolbook"/>
          <w:i/>
          <w:kern w:val="0"/>
          <w:sz w:val="22"/>
          <w:szCs w:val="22"/>
        </w:rPr>
        <w:t>Genotoxic</w:t>
      </w:r>
      <w:proofErr w:type="spellEnd"/>
      <w:r w:rsidR="001303EB" w:rsidRPr="008B2ED1">
        <w:rPr>
          <w:rFonts w:ascii="Century Schoolbook" w:hAnsi="Century Schoolbook"/>
          <w:i/>
          <w:kern w:val="0"/>
          <w:sz w:val="22"/>
          <w:szCs w:val="22"/>
        </w:rPr>
        <w:t xml:space="preserve"> Activity</w:t>
      </w:r>
      <w:bookmarkEnd w:id="26"/>
      <w:bookmarkEnd w:id="27"/>
    </w:p>
    <w:p w:rsidR="001D26BE" w:rsidRPr="00C9399A" w:rsidRDefault="001D26BE" w:rsidP="00E44012">
      <w:pPr>
        <w:autoSpaceDE w:val="0"/>
        <w:autoSpaceDN w:val="0"/>
        <w:adjustRightInd w:val="0"/>
        <w:spacing w:after="120"/>
        <w:textAlignment w:val="bottom"/>
        <w:rPr>
          <w:rFonts w:ascii="Century Schoolbook" w:hAnsi="Century Schoolbook"/>
          <w:kern w:val="0"/>
          <w:sz w:val="22"/>
          <w:szCs w:val="22"/>
        </w:rPr>
      </w:pPr>
      <w:r w:rsidRPr="00C9399A">
        <w:rPr>
          <w:rFonts w:ascii="Century Schoolbook" w:hAnsi="Century Schoolbook"/>
          <w:kern w:val="0"/>
          <w:sz w:val="22"/>
          <w:szCs w:val="22"/>
        </w:rPr>
        <w:t>Structurally alerting compounds (</w:t>
      </w:r>
      <w:r w:rsidRPr="00C9399A">
        <w:rPr>
          <w:rFonts w:ascii="Century Schoolbook" w:hAnsi="Century Schoolbook"/>
          <w:iCs/>
          <w:kern w:val="0"/>
          <w:sz w:val="22"/>
          <w:szCs w:val="22"/>
        </w:rPr>
        <w:t>Note 5</w:t>
      </w:r>
      <w:r w:rsidRPr="00C9399A">
        <w:rPr>
          <w:rFonts w:ascii="Century Schoolbook" w:hAnsi="Century Schoolbook"/>
          <w:kern w:val="0"/>
          <w:sz w:val="22"/>
          <w:szCs w:val="22"/>
        </w:rPr>
        <w:t xml:space="preserve">) are usually detectable in the standard test battery since the majority of “structural alerts” are defined in relation to bacterial </w:t>
      </w:r>
      <w:proofErr w:type="spellStart"/>
      <w:r w:rsidRPr="00C9399A">
        <w:rPr>
          <w:rFonts w:ascii="Century Schoolbook" w:hAnsi="Century Schoolbook"/>
          <w:kern w:val="0"/>
          <w:sz w:val="22"/>
          <w:szCs w:val="22"/>
        </w:rPr>
        <w:t>mutagenicity</w:t>
      </w:r>
      <w:proofErr w:type="spellEnd"/>
      <w:r w:rsidRPr="00C9399A">
        <w:rPr>
          <w:rFonts w:ascii="Century Schoolbook" w:hAnsi="Century Schoolbook"/>
          <w:kern w:val="0"/>
          <w:sz w:val="22"/>
          <w:szCs w:val="22"/>
        </w:rPr>
        <w:t xml:space="preserve">.  A few chemical classes are known to be more easily detected in mammalian cell chromosome damage assays than bacterial mutation assays.  Thus </w:t>
      </w:r>
      <w:proofErr w:type="gramStart"/>
      <w:r w:rsidRPr="00C9399A">
        <w:rPr>
          <w:rFonts w:ascii="Century Schoolbook" w:hAnsi="Century Schoolbook"/>
          <w:kern w:val="0"/>
          <w:sz w:val="22"/>
          <w:szCs w:val="22"/>
        </w:rPr>
        <w:t>negative results</w:t>
      </w:r>
      <w:proofErr w:type="gramEnd"/>
      <w:r w:rsidRPr="00C9399A">
        <w:rPr>
          <w:rFonts w:ascii="Century Schoolbook" w:hAnsi="Century Schoolbook"/>
          <w:kern w:val="0"/>
          <w:sz w:val="22"/>
          <w:szCs w:val="22"/>
        </w:rPr>
        <w:t xml:space="preserve"> in either test battery with a compound that has a structural alert is usually considered sufficient assurance of a lack of </w:t>
      </w:r>
      <w:proofErr w:type="spellStart"/>
      <w:r w:rsidRPr="00C9399A">
        <w:rPr>
          <w:rFonts w:ascii="Century Schoolbook" w:hAnsi="Century Schoolbook"/>
          <w:kern w:val="0"/>
          <w:sz w:val="22"/>
          <w:szCs w:val="22"/>
        </w:rPr>
        <w:t>genotoxicity</w:t>
      </w:r>
      <w:proofErr w:type="spellEnd"/>
      <w:r w:rsidRPr="00C9399A">
        <w:rPr>
          <w:rFonts w:ascii="Century Schoolbook" w:hAnsi="Century Schoolbook"/>
          <w:kern w:val="0"/>
          <w:sz w:val="22"/>
          <w:szCs w:val="22"/>
        </w:rPr>
        <w:t>.  However, for compounds bearing certain specific structural alerts, modification to standard protocols can be appropriate (Note 5).  The choice of additional test(s) or protocol modification(s) depends on the chemical nature, the known reactivity and any metabolism data on the structurally alerting compound in question.</w:t>
      </w:r>
    </w:p>
    <w:p w:rsidR="001D26BE" w:rsidRPr="008B2ED1" w:rsidRDefault="001D26BE" w:rsidP="008B2ED1">
      <w:pPr>
        <w:pStyle w:val="Heading3"/>
        <w:numPr>
          <w:ilvl w:val="2"/>
          <w:numId w:val="36"/>
        </w:numPr>
        <w:spacing w:before="120"/>
        <w:rPr>
          <w:rFonts w:ascii="Century Schoolbook" w:hAnsi="Century Schoolbook"/>
          <w:kern w:val="0"/>
          <w:sz w:val="22"/>
          <w:szCs w:val="22"/>
        </w:rPr>
      </w:pPr>
      <w:bookmarkStart w:id="28" w:name="_Toc309742178"/>
      <w:bookmarkStart w:id="29" w:name="_Toc309835276"/>
      <w:bookmarkStart w:id="30" w:name="OLE_LINK5"/>
      <w:bookmarkStart w:id="31" w:name="OLE_LINK6"/>
      <w:r w:rsidRPr="008B2ED1">
        <w:rPr>
          <w:rFonts w:ascii="Century Schoolbook" w:hAnsi="Century Schoolbook"/>
          <w:i/>
          <w:kern w:val="0"/>
          <w:sz w:val="22"/>
          <w:szCs w:val="22"/>
        </w:rPr>
        <w:t xml:space="preserve">Limitations </w:t>
      </w:r>
      <w:r w:rsidR="00154C44" w:rsidRPr="008B2ED1">
        <w:rPr>
          <w:rFonts w:ascii="Century Schoolbook" w:hAnsi="Century Schoolbook"/>
          <w:i/>
          <w:kern w:val="0"/>
          <w:sz w:val="22"/>
          <w:szCs w:val="22"/>
        </w:rPr>
        <w:t>t</w:t>
      </w:r>
      <w:r w:rsidR="001303EB" w:rsidRPr="008B2ED1">
        <w:rPr>
          <w:rFonts w:ascii="Century Schoolbook" w:hAnsi="Century Schoolbook"/>
          <w:i/>
          <w:kern w:val="0"/>
          <w:sz w:val="22"/>
          <w:szCs w:val="22"/>
        </w:rPr>
        <w:t xml:space="preserve">o </w:t>
      </w:r>
      <w:r w:rsidR="00154C44" w:rsidRPr="008B2ED1">
        <w:rPr>
          <w:rFonts w:ascii="Century Schoolbook" w:hAnsi="Century Schoolbook"/>
          <w:i/>
          <w:kern w:val="0"/>
          <w:sz w:val="22"/>
          <w:szCs w:val="22"/>
        </w:rPr>
        <w:t>t</w:t>
      </w:r>
      <w:r w:rsidR="001303EB" w:rsidRPr="008B2ED1">
        <w:rPr>
          <w:rFonts w:ascii="Century Schoolbook" w:hAnsi="Century Schoolbook"/>
          <w:i/>
          <w:kern w:val="0"/>
          <w:sz w:val="22"/>
          <w:szCs w:val="22"/>
        </w:rPr>
        <w:t xml:space="preserve">he Use </w:t>
      </w:r>
      <w:r w:rsidR="00154C44" w:rsidRPr="008B2ED1">
        <w:rPr>
          <w:rFonts w:ascii="Century Schoolbook" w:hAnsi="Century Schoolbook"/>
          <w:i/>
          <w:kern w:val="0"/>
          <w:sz w:val="22"/>
          <w:szCs w:val="22"/>
        </w:rPr>
        <w:t>o</w:t>
      </w:r>
      <w:r w:rsidR="001303EB" w:rsidRPr="008B2ED1">
        <w:rPr>
          <w:rFonts w:ascii="Century Schoolbook" w:hAnsi="Century Schoolbook"/>
          <w:i/>
          <w:kern w:val="0"/>
          <w:sz w:val="22"/>
          <w:szCs w:val="22"/>
        </w:rPr>
        <w:t xml:space="preserve">f </w:t>
      </w:r>
      <w:r w:rsidR="001D2B20" w:rsidRPr="001D2B20">
        <w:rPr>
          <w:rFonts w:ascii="Century Schoolbook" w:hAnsi="Century Schoolbook"/>
          <w:i/>
          <w:iCs/>
          <w:kern w:val="0"/>
          <w:sz w:val="22"/>
          <w:szCs w:val="22"/>
        </w:rPr>
        <w:t>In Vivo</w:t>
      </w:r>
      <w:r w:rsidR="001303EB" w:rsidRPr="008B2ED1">
        <w:rPr>
          <w:rFonts w:ascii="Century Schoolbook" w:hAnsi="Century Schoolbook"/>
          <w:i/>
          <w:iCs/>
          <w:kern w:val="0"/>
          <w:sz w:val="22"/>
          <w:szCs w:val="22"/>
        </w:rPr>
        <w:t xml:space="preserve"> </w:t>
      </w:r>
      <w:r w:rsidR="001303EB" w:rsidRPr="008B2ED1">
        <w:rPr>
          <w:rFonts w:ascii="Century Schoolbook" w:hAnsi="Century Schoolbook"/>
          <w:i/>
          <w:kern w:val="0"/>
          <w:sz w:val="22"/>
          <w:szCs w:val="22"/>
        </w:rPr>
        <w:t>Tests</w:t>
      </w:r>
      <w:bookmarkEnd w:id="28"/>
      <w:bookmarkEnd w:id="29"/>
    </w:p>
    <w:p w:rsidR="001D26BE" w:rsidRPr="00C9399A" w:rsidRDefault="001D26BE" w:rsidP="004A62F4">
      <w:pPr>
        <w:autoSpaceDE w:val="0"/>
        <w:autoSpaceDN w:val="0"/>
        <w:adjustRightInd w:val="0"/>
        <w:spacing w:after="120"/>
        <w:textAlignment w:val="bottom"/>
        <w:rPr>
          <w:rFonts w:ascii="Century Schoolbook" w:hAnsi="Century Schoolbook"/>
          <w:kern w:val="0"/>
          <w:sz w:val="22"/>
          <w:szCs w:val="22"/>
        </w:rPr>
      </w:pPr>
      <w:r w:rsidRPr="00C9399A">
        <w:rPr>
          <w:rFonts w:ascii="Century Schoolbook" w:hAnsi="Century Schoolbook"/>
          <w:kern w:val="0"/>
          <w:sz w:val="22"/>
          <w:szCs w:val="22"/>
        </w:rPr>
        <w:t xml:space="preserve">There are compounds for which many </w:t>
      </w:r>
      <w:r w:rsidRPr="00C9399A">
        <w:rPr>
          <w:rFonts w:ascii="Century Schoolbook" w:hAnsi="Century Schoolbook"/>
          <w:i/>
          <w:iCs/>
          <w:kern w:val="0"/>
          <w:sz w:val="22"/>
          <w:szCs w:val="22"/>
        </w:rPr>
        <w:t xml:space="preserve">in vivo </w:t>
      </w:r>
      <w:r w:rsidRPr="00C9399A">
        <w:rPr>
          <w:rFonts w:ascii="Century Schoolbook" w:hAnsi="Century Schoolbook"/>
          <w:kern w:val="0"/>
          <w:sz w:val="22"/>
          <w:szCs w:val="22"/>
        </w:rPr>
        <w:t xml:space="preserve">tests (typically in bone marrow, blood or liver) do not provide additional useful information.  These include compounds for which data on </w:t>
      </w:r>
      <w:proofErr w:type="spellStart"/>
      <w:r w:rsidRPr="00C9399A">
        <w:rPr>
          <w:rFonts w:ascii="Century Schoolbook" w:hAnsi="Century Schoolbook"/>
          <w:kern w:val="0"/>
          <w:sz w:val="22"/>
          <w:szCs w:val="22"/>
        </w:rPr>
        <w:t>toxicokinetics</w:t>
      </w:r>
      <w:proofErr w:type="spellEnd"/>
      <w:r w:rsidRPr="00C9399A">
        <w:rPr>
          <w:rFonts w:ascii="Century Schoolbook" w:hAnsi="Century Schoolbook"/>
          <w:kern w:val="0"/>
          <w:sz w:val="22"/>
          <w:szCs w:val="22"/>
        </w:rPr>
        <w:t xml:space="preserve"> or pharmacokinetics indicate that they are not systemically absorbed and therefore are not available to the target tissues.  Examples of such compounds are some </w:t>
      </w:r>
      <w:proofErr w:type="spellStart"/>
      <w:r w:rsidRPr="00C9399A">
        <w:rPr>
          <w:rFonts w:ascii="Century Schoolbook" w:hAnsi="Century Schoolbook"/>
          <w:kern w:val="0"/>
          <w:sz w:val="22"/>
          <w:szCs w:val="22"/>
        </w:rPr>
        <w:t>radioimaging</w:t>
      </w:r>
      <w:proofErr w:type="spellEnd"/>
      <w:r w:rsidRPr="00C9399A">
        <w:rPr>
          <w:rFonts w:ascii="Century Schoolbook" w:hAnsi="Century Schoolbook"/>
          <w:kern w:val="0"/>
          <w:sz w:val="22"/>
          <w:szCs w:val="22"/>
        </w:rPr>
        <w:t xml:space="preserve"> agents, aluminum based antacids, some compounds given by inhalation, and some </w:t>
      </w:r>
      <w:proofErr w:type="spellStart"/>
      <w:r w:rsidRPr="00C9399A">
        <w:rPr>
          <w:rFonts w:ascii="Century Schoolbook" w:hAnsi="Century Schoolbook"/>
          <w:kern w:val="0"/>
          <w:sz w:val="22"/>
          <w:szCs w:val="22"/>
        </w:rPr>
        <w:t>dermally</w:t>
      </w:r>
      <w:proofErr w:type="spellEnd"/>
      <w:r w:rsidRPr="00C9399A">
        <w:rPr>
          <w:rFonts w:ascii="Century Schoolbook" w:hAnsi="Century Schoolbook"/>
          <w:kern w:val="0"/>
          <w:sz w:val="22"/>
          <w:szCs w:val="22"/>
        </w:rPr>
        <w:t xml:space="preserve"> or other topically applied pharmaceuticals.  In cases where a modification of the route of administration does not provide sufficient target tissue exposure, and no suitable </w:t>
      </w:r>
      <w:proofErr w:type="spellStart"/>
      <w:r w:rsidRPr="00C9399A">
        <w:rPr>
          <w:rFonts w:ascii="Century Schoolbook" w:hAnsi="Century Schoolbook"/>
          <w:kern w:val="0"/>
          <w:sz w:val="22"/>
          <w:szCs w:val="22"/>
        </w:rPr>
        <w:t>genotoxicity</w:t>
      </w:r>
      <w:proofErr w:type="spellEnd"/>
      <w:r w:rsidRPr="00C9399A">
        <w:rPr>
          <w:rFonts w:ascii="Century Schoolbook" w:hAnsi="Century Schoolbook"/>
          <w:kern w:val="0"/>
          <w:sz w:val="22"/>
          <w:szCs w:val="22"/>
        </w:rPr>
        <w:t xml:space="preserve"> assay is available in the most exposed tissue, it might be appropriate to base the evaluation only on </w:t>
      </w:r>
      <w:r w:rsidRPr="00C9399A">
        <w:rPr>
          <w:rFonts w:ascii="Century Schoolbook" w:hAnsi="Century Schoolbook"/>
          <w:i/>
          <w:iCs/>
          <w:kern w:val="0"/>
          <w:sz w:val="22"/>
          <w:szCs w:val="22"/>
        </w:rPr>
        <w:t xml:space="preserve">in vitro </w:t>
      </w:r>
      <w:r w:rsidRPr="00C9399A">
        <w:rPr>
          <w:rFonts w:ascii="Century Schoolbook" w:hAnsi="Century Schoolbook"/>
          <w:kern w:val="0"/>
          <w:sz w:val="22"/>
          <w:szCs w:val="22"/>
        </w:rPr>
        <w:t xml:space="preserve">testing.  In some cases evaluation of </w:t>
      </w:r>
      <w:proofErr w:type="spellStart"/>
      <w:r w:rsidRPr="00C9399A">
        <w:rPr>
          <w:rFonts w:ascii="Century Schoolbook" w:hAnsi="Century Schoolbook"/>
          <w:kern w:val="0"/>
          <w:sz w:val="22"/>
          <w:szCs w:val="22"/>
        </w:rPr>
        <w:t>genotoxic</w:t>
      </w:r>
      <w:proofErr w:type="spellEnd"/>
      <w:r w:rsidRPr="00C9399A">
        <w:rPr>
          <w:rFonts w:ascii="Century Schoolbook" w:hAnsi="Century Schoolbook"/>
          <w:kern w:val="0"/>
          <w:sz w:val="22"/>
          <w:szCs w:val="22"/>
        </w:rPr>
        <w:t xml:space="preserve"> effects at the site of contact can be warranted, although such assays have not yet been widely used (</w:t>
      </w:r>
      <w:r w:rsidR="00DB33C4">
        <w:rPr>
          <w:rFonts w:ascii="Century Schoolbook" w:hAnsi="Century Schoolbook"/>
          <w:kern w:val="0"/>
          <w:sz w:val="22"/>
          <w:szCs w:val="22"/>
        </w:rPr>
        <w:t>Note</w:t>
      </w:r>
      <w:r w:rsidRPr="00C9399A">
        <w:rPr>
          <w:rFonts w:ascii="Century Schoolbook" w:hAnsi="Century Schoolbook"/>
          <w:kern w:val="0"/>
          <w:sz w:val="22"/>
          <w:szCs w:val="22"/>
        </w:rPr>
        <w:t xml:space="preserve"> 6).</w:t>
      </w:r>
    </w:p>
    <w:p w:rsidR="001D26BE" w:rsidRPr="0078046D" w:rsidRDefault="001D26BE" w:rsidP="00AA186A">
      <w:pPr>
        <w:pStyle w:val="Heading2"/>
        <w:numPr>
          <w:ilvl w:val="1"/>
          <w:numId w:val="36"/>
        </w:numPr>
        <w:spacing w:before="180" w:after="120"/>
        <w:ind w:left="720" w:hanging="720"/>
        <w:rPr>
          <w:rFonts w:ascii="Century Schoolbook" w:hAnsi="Century Schoolbook"/>
          <w:i w:val="0"/>
          <w:kern w:val="0"/>
          <w:sz w:val="22"/>
          <w:szCs w:val="22"/>
        </w:rPr>
      </w:pPr>
      <w:bookmarkStart w:id="32" w:name="_Toc309742179"/>
      <w:bookmarkStart w:id="33" w:name="_Toc309835277"/>
      <w:r w:rsidRPr="0078046D">
        <w:rPr>
          <w:rFonts w:ascii="Century Schoolbook" w:hAnsi="Century Schoolbook"/>
          <w:i w:val="0"/>
          <w:kern w:val="0"/>
          <w:sz w:val="22"/>
          <w:szCs w:val="22"/>
        </w:rPr>
        <w:lastRenderedPageBreak/>
        <w:t xml:space="preserve">Detection </w:t>
      </w:r>
      <w:r w:rsidR="00154C44" w:rsidRPr="0078046D">
        <w:rPr>
          <w:rFonts w:ascii="Century Schoolbook" w:hAnsi="Century Schoolbook"/>
          <w:i w:val="0"/>
          <w:kern w:val="0"/>
          <w:sz w:val="22"/>
          <w:szCs w:val="22"/>
        </w:rPr>
        <w:t>o</w:t>
      </w:r>
      <w:r w:rsidR="001303EB" w:rsidRPr="0078046D">
        <w:rPr>
          <w:rFonts w:ascii="Century Schoolbook" w:hAnsi="Century Schoolbook"/>
          <w:i w:val="0"/>
          <w:kern w:val="0"/>
          <w:sz w:val="22"/>
          <w:szCs w:val="22"/>
        </w:rPr>
        <w:t>f Germ Cell Mutagens</w:t>
      </w:r>
      <w:bookmarkEnd w:id="32"/>
      <w:bookmarkEnd w:id="33"/>
    </w:p>
    <w:p w:rsidR="001D26BE" w:rsidRPr="00C9399A" w:rsidRDefault="001D26BE" w:rsidP="004A62F4">
      <w:pPr>
        <w:autoSpaceDE w:val="0"/>
        <w:autoSpaceDN w:val="0"/>
        <w:adjustRightInd w:val="0"/>
        <w:spacing w:after="120"/>
        <w:textAlignment w:val="bottom"/>
        <w:rPr>
          <w:rFonts w:ascii="Century Schoolbook" w:hAnsi="Century Schoolbook"/>
          <w:kern w:val="0"/>
          <w:sz w:val="22"/>
          <w:szCs w:val="22"/>
        </w:rPr>
      </w:pPr>
      <w:r w:rsidRPr="00C9399A">
        <w:rPr>
          <w:rFonts w:ascii="Century Schoolbook" w:hAnsi="Century Schoolbook"/>
          <w:kern w:val="0"/>
          <w:sz w:val="22"/>
          <w:szCs w:val="22"/>
        </w:rPr>
        <w:t xml:space="preserve">Results of comparative studies have shown that, in a qualitative sense, most germ cell mutagens are likely to be detected as </w:t>
      </w:r>
      <w:proofErr w:type="spellStart"/>
      <w:r w:rsidRPr="00C9399A">
        <w:rPr>
          <w:rFonts w:ascii="Century Schoolbook" w:hAnsi="Century Schoolbook"/>
          <w:kern w:val="0"/>
          <w:sz w:val="22"/>
          <w:szCs w:val="22"/>
        </w:rPr>
        <w:t>genotoxic</w:t>
      </w:r>
      <w:proofErr w:type="spellEnd"/>
      <w:r w:rsidRPr="00C9399A">
        <w:rPr>
          <w:rFonts w:ascii="Century Schoolbook" w:hAnsi="Century Schoolbook"/>
          <w:kern w:val="0"/>
          <w:sz w:val="22"/>
          <w:szCs w:val="22"/>
        </w:rPr>
        <w:t xml:space="preserve"> in somatic cell tests so that negative results of </w:t>
      </w:r>
      <w:r w:rsidRPr="00C9399A">
        <w:rPr>
          <w:rFonts w:ascii="Century Schoolbook" w:hAnsi="Century Schoolbook"/>
          <w:i/>
          <w:iCs/>
          <w:kern w:val="0"/>
          <w:sz w:val="22"/>
          <w:szCs w:val="22"/>
        </w:rPr>
        <w:t xml:space="preserve">in vivo </w:t>
      </w:r>
      <w:r w:rsidRPr="00C9399A">
        <w:rPr>
          <w:rFonts w:ascii="Century Schoolbook" w:hAnsi="Century Schoolbook"/>
          <w:kern w:val="0"/>
          <w:sz w:val="22"/>
          <w:szCs w:val="22"/>
        </w:rPr>
        <w:t xml:space="preserve">somatic cell </w:t>
      </w:r>
      <w:proofErr w:type="spellStart"/>
      <w:r w:rsidRPr="00C9399A">
        <w:rPr>
          <w:rFonts w:ascii="Century Schoolbook" w:hAnsi="Century Schoolbook"/>
          <w:kern w:val="0"/>
          <w:sz w:val="22"/>
          <w:szCs w:val="22"/>
        </w:rPr>
        <w:t>genotoxicity</w:t>
      </w:r>
      <w:proofErr w:type="spellEnd"/>
      <w:r w:rsidRPr="00C9399A">
        <w:rPr>
          <w:rFonts w:ascii="Century Schoolbook" w:hAnsi="Century Schoolbook"/>
          <w:kern w:val="0"/>
          <w:sz w:val="22"/>
          <w:szCs w:val="22"/>
        </w:rPr>
        <w:t xml:space="preserve"> tests generally indicate the absence of germ cell effects.</w:t>
      </w:r>
      <w:bookmarkEnd w:id="30"/>
      <w:bookmarkEnd w:id="31"/>
    </w:p>
    <w:p w:rsidR="001D26BE" w:rsidRPr="0078046D" w:rsidRDefault="000B3C1E" w:rsidP="00AA186A">
      <w:pPr>
        <w:pStyle w:val="Heading1"/>
        <w:numPr>
          <w:ilvl w:val="0"/>
          <w:numId w:val="36"/>
        </w:numPr>
        <w:tabs>
          <w:tab w:val="left" w:pos="720"/>
        </w:tabs>
        <w:spacing w:after="120"/>
        <w:ind w:left="720" w:hanging="720"/>
        <w:rPr>
          <w:rFonts w:ascii="Century Schoolbook" w:hAnsi="Century Schoolbook"/>
          <w:smallCaps/>
          <w:kern w:val="0"/>
          <w:sz w:val="22"/>
          <w:szCs w:val="22"/>
        </w:rPr>
      </w:pPr>
      <w:bookmarkStart w:id="34" w:name="_Toc309742180"/>
      <w:bookmarkStart w:id="35" w:name="_Toc309835278"/>
      <w:r w:rsidRPr="0078046D">
        <w:rPr>
          <w:rFonts w:ascii="Century Schoolbook" w:hAnsi="Century Schoolbook"/>
          <w:smallCaps/>
          <w:kern w:val="0"/>
          <w:sz w:val="22"/>
          <w:szCs w:val="22"/>
        </w:rPr>
        <w:t>Recommendations for</w:t>
      </w:r>
      <w:r w:rsidRPr="0078046D">
        <w:rPr>
          <w:rFonts w:ascii="Century Schoolbook" w:hAnsi="Century Schoolbook"/>
          <w:kern w:val="0"/>
          <w:sz w:val="22"/>
          <w:szCs w:val="22"/>
        </w:rPr>
        <w:t xml:space="preserve"> </w:t>
      </w:r>
      <w:r w:rsidR="00311037" w:rsidRPr="00311037">
        <w:rPr>
          <w:rFonts w:ascii="Century Schoolbook" w:hAnsi="Century Schoolbook"/>
          <w:i/>
          <w:iCs/>
          <w:smallCaps/>
          <w:kern w:val="0"/>
          <w:sz w:val="22"/>
          <w:szCs w:val="22"/>
        </w:rPr>
        <w:t>In Vitro</w:t>
      </w:r>
      <w:r w:rsidR="001D26BE" w:rsidRPr="0078046D">
        <w:rPr>
          <w:rFonts w:ascii="Century Schoolbook" w:hAnsi="Century Schoolbook"/>
          <w:i/>
          <w:iCs/>
          <w:kern w:val="0"/>
          <w:sz w:val="22"/>
          <w:szCs w:val="22"/>
        </w:rPr>
        <w:t xml:space="preserve"> </w:t>
      </w:r>
      <w:r w:rsidRPr="0078046D">
        <w:rPr>
          <w:rFonts w:ascii="Century Schoolbook" w:hAnsi="Century Schoolbook"/>
          <w:smallCaps/>
          <w:kern w:val="0"/>
          <w:sz w:val="22"/>
          <w:szCs w:val="22"/>
        </w:rPr>
        <w:t>Tests</w:t>
      </w:r>
      <w:bookmarkEnd w:id="34"/>
      <w:bookmarkEnd w:id="35"/>
    </w:p>
    <w:p w:rsidR="001D26BE" w:rsidRPr="0078046D" w:rsidRDefault="001D26BE" w:rsidP="00AA186A">
      <w:pPr>
        <w:pStyle w:val="Heading2"/>
        <w:numPr>
          <w:ilvl w:val="1"/>
          <w:numId w:val="36"/>
        </w:numPr>
        <w:spacing w:before="180" w:after="120"/>
        <w:ind w:left="720" w:hanging="720"/>
        <w:rPr>
          <w:rFonts w:ascii="Century Schoolbook" w:hAnsi="Century Schoolbook"/>
          <w:bCs w:val="0"/>
          <w:i w:val="0"/>
          <w:kern w:val="0"/>
          <w:sz w:val="22"/>
          <w:szCs w:val="22"/>
        </w:rPr>
      </w:pPr>
      <w:bookmarkStart w:id="36" w:name="_Toc309742181"/>
      <w:bookmarkStart w:id="37" w:name="_Toc309835279"/>
      <w:r w:rsidRPr="0078046D">
        <w:rPr>
          <w:rFonts w:ascii="Century Schoolbook" w:hAnsi="Century Schoolbook"/>
          <w:bCs w:val="0"/>
          <w:i w:val="0"/>
          <w:kern w:val="0"/>
          <w:sz w:val="22"/>
          <w:szCs w:val="22"/>
        </w:rPr>
        <w:t xml:space="preserve">Test </w:t>
      </w:r>
      <w:r w:rsidR="001303EB" w:rsidRPr="0078046D">
        <w:rPr>
          <w:rFonts w:ascii="Century Schoolbook" w:hAnsi="Century Schoolbook"/>
          <w:bCs w:val="0"/>
          <w:i w:val="0"/>
          <w:kern w:val="0"/>
          <w:sz w:val="22"/>
          <w:szCs w:val="22"/>
        </w:rPr>
        <w:t>Repetition and Interpretation</w:t>
      </w:r>
      <w:bookmarkEnd w:id="36"/>
      <w:bookmarkEnd w:id="37"/>
    </w:p>
    <w:p w:rsidR="001D26BE" w:rsidRPr="00C9399A" w:rsidRDefault="001D26BE" w:rsidP="00E44012">
      <w:pPr>
        <w:autoSpaceDE w:val="0"/>
        <w:autoSpaceDN w:val="0"/>
        <w:adjustRightInd w:val="0"/>
        <w:spacing w:after="120"/>
        <w:textAlignment w:val="bottom"/>
        <w:rPr>
          <w:rFonts w:ascii="Century Schoolbook" w:hAnsi="Century Schoolbook"/>
          <w:kern w:val="0"/>
          <w:sz w:val="22"/>
          <w:szCs w:val="22"/>
        </w:rPr>
      </w:pPr>
      <w:r w:rsidRPr="00C9399A">
        <w:rPr>
          <w:rFonts w:ascii="Century Schoolbook" w:hAnsi="Century Schoolbook"/>
          <w:kern w:val="0"/>
          <w:sz w:val="22"/>
          <w:szCs w:val="22"/>
        </w:rPr>
        <w:t xml:space="preserve">Reproducibility of experimental results is an essential component of research involving novel methods or unexpected findings; however, the routine testing of drugs with standard, widely used </w:t>
      </w:r>
      <w:proofErr w:type="spellStart"/>
      <w:r w:rsidRPr="00C9399A">
        <w:rPr>
          <w:rFonts w:ascii="Century Schoolbook" w:hAnsi="Century Schoolbook"/>
          <w:kern w:val="0"/>
          <w:sz w:val="22"/>
          <w:szCs w:val="22"/>
        </w:rPr>
        <w:t>genotoxicity</w:t>
      </w:r>
      <w:proofErr w:type="spellEnd"/>
      <w:r w:rsidRPr="00C9399A">
        <w:rPr>
          <w:rFonts w:ascii="Century Schoolbook" w:hAnsi="Century Schoolbook"/>
          <w:kern w:val="0"/>
          <w:sz w:val="22"/>
          <w:szCs w:val="22"/>
        </w:rPr>
        <w:t xml:space="preserve"> tests often does not call for replication.  These tests are sufficiently well characterized and have sufficient internal controls that repetition of a clearly positive or negative assay is not usually warranted.  Ideally it should be possible to declare test results clearly negative or clearly positive.  However, test results sometimes do not fit the predetermined criteria for a positive or negative call and therefore are declared “equivocal”.  The application of statistical methods can aid in data interpretation; however, adequate biological interpretation is of critical importance.  An equivocal test that is repeated might result in (</w:t>
      </w:r>
      <w:proofErr w:type="spellStart"/>
      <w:r w:rsidRPr="00C9399A">
        <w:rPr>
          <w:rFonts w:ascii="Century Schoolbook" w:hAnsi="Century Schoolbook"/>
          <w:kern w:val="0"/>
          <w:sz w:val="22"/>
          <w:szCs w:val="22"/>
        </w:rPr>
        <w:t>i</w:t>
      </w:r>
      <w:proofErr w:type="spellEnd"/>
      <w:r w:rsidRPr="00C9399A">
        <w:rPr>
          <w:rFonts w:ascii="Century Schoolbook" w:hAnsi="Century Schoolbook"/>
          <w:kern w:val="0"/>
          <w:sz w:val="22"/>
          <w:szCs w:val="22"/>
        </w:rPr>
        <w:t>) a clearly positive outcome, and thus an overall positive result; (ii) a negative outcome, so that the result is not reproducible and overall negative, or (iii) another equivocal result, with a final conclusion that remains equivocal.</w:t>
      </w:r>
    </w:p>
    <w:p w:rsidR="001D26BE" w:rsidRPr="0078046D" w:rsidRDefault="001D26BE" w:rsidP="00AA186A">
      <w:pPr>
        <w:pStyle w:val="Heading2"/>
        <w:numPr>
          <w:ilvl w:val="1"/>
          <w:numId w:val="36"/>
        </w:numPr>
        <w:spacing w:before="180" w:after="120"/>
        <w:ind w:left="720" w:hanging="720"/>
        <w:rPr>
          <w:rFonts w:ascii="Century Schoolbook" w:hAnsi="Century Schoolbook"/>
          <w:i w:val="0"/>
          <w:kern w:val="0"/>
          <w:sz w:val="22"/>
          <w:szCs w:val="22"/>
        </w:rPr>
      </w:pPr>
      <w:bookmarkStart w:id="38" w:name="_Toc309742182"/>
      <w:bookmarkStart w:id="39" w:name="_Toc309835280"/>
      <w:r w:rsidRPr="0078046D">
        <w:rPr>
          <w:rFonts w:ascii="Century Schoolbook" w:hAnsi="Century Schoolbook"/>
          <w:i w:val="0"/>
          <w:kern w:val="0"/>
          <w:sz w:val="22"/>
          <w:szCs w:val="22"/>
        </w:rPr>
        <w:t xml:space="preserve">Recommended </w:t>
      </w:r>
      <w:r w:rsidR="001303EB" w:rsidRPr="0078046D">
        <w:rPr>
          <w:rFonts w:ascii="Century Schoolbook" w:hAnsi="Century Schoolbook"/>
          <w:i w:val="0"/>
          <w:kern w:val="0"/>
          <w:sz w:val="22"/>
          <w:szCs w:val="22"/>
        </w:rPr>
        <w:t>Protocol for the Bacterial Mutation Assay</w:t>
      </w:r>
      <w:bookmarkEnd w:id="38"/>
      <w:bookmarkEnd w:id="39"/>
    </w:p>
    <w:p w:rsidR="001D26BE" w:rsidRPr="00C9399A" w:rsidRDefault="001D26BE" w:rsidP="00E44012">
      <w:pPr>
        <w:autoSpaceDE w:val="0"/>
        <w:autoSpaceDN w:val="0"/>
        <w:adjustRightInd w:val="0"/>
        <w:spacing w:after="120"/>
        <w:textAlignment w:val="bottom"/>
        <w:rPr>
          <w:rFonts w:ascii="Century Schoolbook" w:hAnsi="Century Schoolbook"/>
          <w:kern w:val="0"/>
          <w:sz w:val="22"/>
          <w:szCs w:val="22"/>
        </w:rPr>
      </w:pPr>
      <w:r w:rsidRPr="00C9399A">
        <w:rPr>
          <w:rFonts w:ascii="Century Schoolbook" w:hAnsi="Century Schoolbook"/>
          <w:bCs/>
          <w:kern w:val="0"/>
          <w:sz w:val="22"/>
          <w:szCs w:val="22"/>
        </w:rPr>
        <w:t>Advice on the protocols is given in the OECD guideline (1997) and the IWGT report (Gatehouse et al., 1994).</w:t>
      </w:r>
    </w:p>
    <w:p w:rsidR="001D26BE" w:rsidRPr="008B2ED1" w:rsidRDefault="001D26BE" w:rsidP="008B2ED1">
      <w:pPr>
        <w:pStyle w:val="Heading3"/>
        <w:numPr>
          <w:ilvl w:val="2"/>
          <w:numId w:val="36"/>
        </w:numPr>
        <w:spacing w:before="120"/>
        <w:rPr>
          <w:rFonts w:ascii="Century Schoolbook" w:hAnsi="Century Schoolbook"/>
          <w:bCs w:val="0"/>
          <w:i/>
          <w:kern w:val="0"/>
          <w:sz w:val="22"/>
          <w:szCs w:val="22"/>
        </w:rPr>
      </w:pPr>
      <w:bookmarkStart w:id="40" w:name="_Toc309742183"/>
      <w:bookmarkStart w:id="41" w:name="_Toc309835281"/>
      <w:r w:rsidRPr="008B2ED1">
        <w:rPr>
          <w:rFonts w:ascii="Century Schoolbook" w:hAnsi="Century Schoolbook"/>
          <w:bCs w:val="0"/>
          <w:i/>
          <w:kern w:val="0"/>
          <w:sz w:val="22"/>
          <w:szCs w:val="22"/>
        </w:rPr>
        <w:t xml:space="preserve">Selection </w:t>
      </w:r>
      <w:r w:rsidR="001303EB" w:rsidRPr="008B2ED1">
        <w:rPr>
          <w:rFonts w:ascii="Century Schoolbook" w:hAnsi="Century Schoolbook"/>
          <w:bCs w:val="0"/>
          <w:i/>
          <w:kern w:val="0"/>
          <w:sz w:val="22"/>
          <w:szCs w:val="22"/>
        </w:rPr>
        <w:t>of Top Dose Level</w:t>
      </w:r>
      <w:bookmarkEnd w:id="40"/>
      <w:bookmarkEnd w:id="41"/>
    </w:p>
    <w:p w:rsidR="001D26BE" w:rsidRPr="00C9399A" w:rsidRDefault="001D26BE" w:rsidP="00311037">
      <w:pPr>
        <w:autoSpaceDE w:val="0"/>
        <w:autoSpaceDN w:val="0"/>
        <w:adjustRightInd w:val="0"/>
        <w:spacing w:before="120" w:after="60"/>
        <w:textAlignment w:val="bottom"/>
        <w:rPr>
          <w:rFonts w:ascii="Century Schoolbook" w:hAnsi="Century Schoolbook"/>
          <w:kern w:val="0"/>
          <w:sz w:val="22"/>
          <w:szCs w:val="22"/>
          <w:u w:val="single"/>
        </w:rPr>
      </w:pPr>
      <w:r w:rsidRPr="00C9399A">
        <w:rPr>
          <w:rFonts w:ascii="Century Schoolbook" w:hAnsi="Century Schoolbook"/>
          <w:kern w:val="0"/>
          <w:sz w:val="22"/>
          <w:szCs w:val="22"/>
          <w:u w:val="single"/>
        </w:rPr>
        <w:t>Maximum dose level</w:t>
      </w:r>
    </w:p>
    <w:p w:rsidR="001D26BE" w:rsidRPr="00C9399A" w:rsidRDefault="001D26BE" w:rsidP="00E44012">
      <w:pPr>
        <w:autoSpaceDE w:val="0"/>
        <w:autoSpaceDN w:val="0"/>
        <w:adjustRightInd w:val="0"/>
        <w:spacing w:after="120"/>
        <w:textAlignment w:val="bottom"/>
        <w:rPr>
          <w:rFonts w:ascii="Century Schoolbook" w:hAnsi="Century Schoolbook"/>
          <w:kern w:val="0"/>
          <w:sz w:val="22"/>
          <w:szCs w:val="22"/>
        </w:rPr>
      </w:pPr>
      <w:r w:rsidRPr="00C9399A">
        <w:rPr>
          <w:rFonts w:ascii="Century Schoolbook" w:hAnsi="Century Schoolbook"/>
          <w:kern w:val="0"/>
          <w:sz w:val="22"/>
          <w:szCs w:val="22"/>
        </w:rPr>
        <w:t xml:space="preserve">The maximum dose level recommended is 5000 µg/plate (or 5 µL/plate for liquid test substance) when not limited by solubility or </w:t>
      </w:r>
      <w:proofErr w:type="spellStart"/>
      <w:r w:rsidRPr="00C9399A">
        <w:rPr>
          <w:rFonts w:ascii="Century Schoolbook" w:hAnsi="Century Schoolbook"/>
          <w:kern w:val="0"/>
          <w:sz w:val="22"/>
          <w:szCs w:val="22"/>
        </w:rPr>
        <w:t>cytotoxicity</w:t>
      </w:r>
      <w:proofErr w:type="spellEnd"/>
      <w:r w:rsidRPr="00C9399A">
        <w:rPr>
          <w:rFonts w:ascii="Century Schoolbook" w:hAnsi="Century Schoolbook"/>
          <w:kern w:val="0"/>
          <w:sz w:val="22"/>
          <w:szCs w:val="22"/>
        </w:rPr>
        <w:t>.</w:t>
      </w:r>
    </w:p>
    <w:p w:rsidR="001D26BE" w:rsidRPr="00C9399A" w:rsidRDefault="001D26BE" w:rsidP="00311037">
      <w:pPr>
        <w:autoSpaceDE w:val="0"/>
        <w:autoSpaceDN w:val="0"/>
        <w:adjustRightInd w:val="0"/>
        <w:spacing w:before="120" w:after="60"/>
        <w:textAlignment w:val="bottom"/>
        <w:rPr>
          <w:rFonts w:ascii="Century Schoolbook" w:hAnsi="Century Schoolbook"/>
          <w:kern w:val="0"/>
          <w:sz w:val="22"/>
          <w:szCs w:val="22"/>
          <w:u w:val="single"/>
        </w:rPr>
      </w:pPr>
      <w:r w:rsidRPr="00C9399A">
        <w:rPr>
          <w:rFonts w:ascii="Century Schoolbook" w:hAnsi="Century Schoolbook"/>
          <w:kern w:val="0"/>
          <w:sz w:val="22"/>
          <w:szCs w:val="22"/>
          <w:u w:val="single"/>
        </w:rPr>
        <w:t>Limit of solubility</w:t>
      </w:r>
    </w:p>
    <w:p w:rsidR="001D26BE" w:rsidRPr="00C9399A" w:rsidRDefault="001D26BE" w:rsidP="00E44012">
      <w:pPr>
        <w:autoSpaceDE w:val="0"/>
        <w:autoSpaceDN w:val="0"/>
        <w:adjustRightInd w:val="0"/>
        <w:spacing w:after="120"/>
        <w:textAlignment w:val="bottom"/>
        <w:rPr>
          <w:rFonts w:ascii="Century Schoolbook" w:hAnsi="Century Schoolbook"/>
          <w:kern w:val="0"/>
          <w:sz w:val="22"/>
          <w:szCs w:val="22"/>
        </w:rPr>
      </w:pPr>
      <w:r w:rsidRPr="00C9399A">
        <w:rPr>
          <w:rFonts w:ascii="Century Schoolbook" w:hAnsi="Century Schoolbook"/>
          <w:kern w:val="0"/>
          <w:sz w:val="22"/>
          <w:szCs w:val="22"/>
        </w:rPr>
        <w:t xml:space="preserve">For bacterial cultures, precipitating doses are scored provided precipitate does not interfere with scoring, toxicity is not limiting, and the top concentration does not exceed 5000 µg/plate (or 5 µL/plate for liquid test substance).  If no </w:t>
      </w:r>
      <w:proofErr w:type="spellStart"/>
      <w:r w:rsidRPr="00C9399A">
        <w:rPr>
          <w:rFonts w:ascii="Century Schoolbook" w:hAnsi="Century Schoolbook"/>
          <w:kern w:val="0"/>
          <w:sz w:val="22"/>
          <w:szCs w:val="22"/>
        </w:rPr>
        <w:t>cytotoxicity</w:t>
      </w:r>
      <w:proofErr w:type="spellEnd"/>
      <w:r w:rsidRPr="00C9399A">
        <w:rPr>
          <w:rFonts w:ascii="Century Schoolbook" w:hAnsi="Century Schoolbook"/>
          <w:kern w:val="0"/>
          <w:sz w:val="22"/>
          <w:szCs w:val="22"/>
        </w:rPr>
        <w:t xml:space="preserve"> is observed, then the lowest precipitating dose should be used as the top dose scored.  If dose related </w:t>
      </w:r>
      <w:proofErr w:type="spellStart"/>
      <w:r w:rsidRPr="00C9399A">
        <w:rPr>
          <w:rFonts w:ascii="Century Schoolbook" w:hAnsi="Century Schoolbook"/>
          <w:kern w:val="0"/>
          <w:sz w:val="22"/>
          <w:szCs w:val="22"/>
        </w:rPr>
        <w:t>cytotoxicity</w:t>
      </w:r>
      <w:proofErr w:type="spellEnd"/>
      <w:r w:rsidRPr="00C9399A">
        <w:rPr>
          <w:rFonts w:ascii="Century Schoolbook" w:hAnsi="Century Schoolbook"/>
          <w:kern w:val="0"/>
          <w:sz w:val="22"/>
          <w:szCs w:val="22"/>
        </w:rPr>
        <w:t xml:space="preserve"> or </w:t>
      </w:r>
      <w:proofErr w:type="spellStart"/>
      <w:r w:rsidRPr="00C9399A">
        <w:rPr>
          <w:rFonts w:ascii="Century Schoolbook" w:hAnsi="Century Schoolbook"/>
          <w:kern w:val="0"/>
          <w:sz w:val="22"/>
          <w:szCs w:val="22"/>
        </w:rPr>
        <w:t>mutagenicity</w:t>
      </w:r>
      <w:proofErr w:type="spellEnd"/>
      <w:r w:rsidRPr="00C9399A">
        <w:rPr>
          <w:rFonts w:ascii="Century Schoolbook" w:hAnsi="Century Schoolbook"/>
          <w:kern w:val="0"/>
          <w:sz w:val="22"/>
          <w:szCs w:val="22"/>
        </w:rPr>
        <w:t xml:space="preserve"> is noted, irrespective of solubility, the top dose scored should be based on </w:t>
      </w:r>
      <w:proofErr w:type="spellStart"/>
      <w:r w:rsidRPr="00C9399A">
        <w:rPr>
          <w:rFonts w:ascii="Century Schoolbook" w:hAnsi="Century Schoolbook"/>
          <w:kern w:val="0"/>
          <w:sz w:val="22"/>
          <w:szCs w:val="22"/>
        </w:rPr>
        <w:t>cytotoxicity</w:t>
      </w:r>
      <w:proofErr w:type="spellEnd"/>
      <w:r w:rsidRPr="00C9399A">
        <w:rPr>
          <w:rFonts w:ascii="Century Schoolbook" w:hAnsi="Century Schoolbook"/>
          <w:kern w:val="0"/>
          <w:sz w:val="22"/>
          <w:szCs w:val="22"/>
        </w:rPr>
        <w:t xml:space="preserve"> as described below.</w:t>
      </w:r>
    </w:p>
    <w:p w:rsidR="001D26BE" w:rsidRPr="00C9399A" w:rsidRDefault="00311037" w:rsidP="00311037">
      <w:pPr>
        <w:autoSpaceDE w:val="0"/>
        <w:autoSpaceDN w:val="0"/>
        <w:adjustRightInd w:val="0"/>
        <w:spacing w:before="120" w:after="60"/>
        <w:textAlignment w:val="bottom"/>
        <w:rPr>
          <w:rFonts w:ascii="Century Schoolbook" w:hAnsi="Century Schoolbook"/>
          <w:kern w:val="0"/>
          <w:sz w:val="22"/>
          <w:szCs w:val="22"/>
          <w:u w:val="single"/>
        </w:rPr>
      </w:pPr>
      <w:r>
        <w:rPr>
          <w:rFonts w:ascii="Century Schoolbook" w:hAnsi="Century Schoolbook"/>
          <w:kern w:val="0"/>
          <w:sz w:val="22"/>
          <w:szCs w:val="22"/>
          <w:u w:val="single"/>
        </w:rPr>
        <w:t xml:space="preserve">Limit of </w:t>
      </w:r>
      <w:proofErr w:type="spellStart"/>
      <w:r>
        <w:rPr>
          <w:rFonts w:ascii="Century Schoolbook" w:hAnsi="Century Schoolbook"/>
          <w:kern w:val="0"/>
          <w:sz w:val="22"/>
          <w:szCs w:val="22"/>
          <w:u w:val="single"/>
        </w:rPr>
        <w:t>cytotoxicity</w:t>
      </w:r>
      <w:proofErr w:type="spellEnd"/>
    </w:p>
    <w:p w:rsidR="001D26BE" w:rsidRPr="00C9399A" w:rsidRDefault="001D26BE" w:rsidP="00E44012">
      <w:pPr>
        <w:autoSpaceDE w:val="0"/>
        <w:autoSpaceDN w:val="0"/>
        <w:adjustRightInd w:val="0"/>
        <w:spacing w:after="120"/>
        <w:textAlignment w:val="bottom"/>
        <w:rPr>
          <w:rFonts w:ascii="Century Schoolbook" w:hAnsi="Century Schoolbook"/>
          <w:kern w:val="0"/>
          <w:sz w:val="22"/>
          <w:szCs w:val="22"/>
        </w:rPr>
      </w:pPr>
      <w:r w:rsidRPr="00C9399A">
        <w:rPr>
          <w:rFonts w:ascii="Century Schoolbook" w:hAnsi="Century Schoolbook"/>
          <w:kern w:val="0"/>
          <w:sz w:val="22"/>
          <w:szCs w:val="22"/>
        </w:rPr>
        <w:t xml:space="preserve">In the Ames test, the doses scored should show evidence of significant toxicity, but without exceeding a top dose of 5000 µg/plate. Toxicity might be detected by a reduction in the number of </w:t>
      </w:r>
      <w:proofErr w:type="spellStart"/>
      <w:r w:rsidRPr="00C9399A">
        <w:rPr>
          <w:rFonts w:ascii="Century Schoolbook" w:hAnsi="Century Schoolbook"/>
          <w:kern w:val="0"/>
          <w:sz w:val="22"/>
          <w:szCs w:val="22"/>
        </w:rPr>
        <w:t>revertants</w:t>
      </w:r>
      <w:proofErr w:type="spellEnd"/>
      <w:r w:rsidRPr="00C9399A">
        <w:rPr>
          <w:rFonts w:ascii="Century Schoolbook" w:hAnsi="Century Schoolbook"/>
          <w:kern w:val="0"/>
          <w:sz w:val="22"/>
          <w:szCs w:val="22"/>
        </w:rPr>
        <w:t>, and/or clearing or diminution of the background lawn.</w:t>
      </w:r>
    </w:p>
    <w:p w:rsidR="001D26BE" w:rsidRPr="008B2ED1" w:rsidRDefault="001D26BE" w:rsidP="008B2ED1">
      <w:pPr>
        <w:pStyle w:val="Heading3"/>
        <w:numPr>
          <w:ilvl w:val="2"/>
          <w:numId w:val="36"/>
        </w:numPr>
        <w:spacing w:before="120"/>
        <w:rPr>
          <w:rFonts w:ascii="Century Schoolbook" w:hAnsi="Century Schoolbook"/>
          <w:i/>
          <w:kern w:val="0"/>
          <w:sz w:val="22"/>
          <w:szCs w:val="22"/>
        </w:rPr>
      </w:pPr>
      <w:bookmarkStart w:id="42" w:name="_Toc309742184"/>
      <w:bookmarkStart w:id="43" w:name="_Toc309835282"/>
      <w:r w:rsidRPr="008B2ED1">
        <w:rPr>
          <w:rFonts w:ascii="Century Schoolbook" w:hAnsi="Century Schoolbook"/>
          <w:i/>
          <w:kern w:val="0"/>
          <w:sz w:val="22"/>
          <w:szCs w:val="22"/>
        </w:rPr>
        <w:t xml:space="preserve">Study </w:t>
      </w:r>
      <w:r w:rsidR="001303EB" w:rsidRPr="008B2ED1">
        <w:rPr>
          <w:rFonts w:ascii="Century Schoolbook" w:hAnsi="Century Schoolbook"/>
          <w:i/>
          <w:kern w:val="0"/>
          <w:sz w:val="22"/>
          <w:szCs w:val="22"/>
        </w:rPr>
        <w:t>Design/</w:t>
      </w:r>
      <w:r w:rsidRPr="008B2ED1">
        <w:rPr>
          <w:rFonts w:ascii="Century Schoolbook" w:hAnsi="Century Schoolbook"/>
          <w:i/>
          <w:kern w:val="0"/>
          <w:sz w:val="22"/>
          <w:szCs w:val="22"/>
        </w:rPr>
        <w:t xml:space="preserve">Test </w:t>
      </w:r>
      <w:r w:rsidR="001303EB" w:rsidRPr="008B2ED1">
        <w:rPr>
          <w:rFonts w:ascii="Century Schoolbook" w:hAnsi="Century Schoolbook"/>
          <w:i/>
          <w:kern w:val="0"/>
          <w:sz w:val="22"/>
          <w:szCs w:val="22"/>
        </w:rPr>
        <w:t>Protocol</w:t>
      </w:r>
      <w:bookmarkEnd w:id="42"/>
      <w:bookmarkEnd w:id="43"/>
    </w:p>
    <w:p w:rsidR="001D26BE" w:rsidRPr="00C9399A" w:rsidRDefault="001D26BE" w:rsidP="00E44012">
      <w:pPr>
        <w:autoSpaceDE w:val="0"/>
        <w:autoSpaceDN w:val="0"/>
        <w:adjustRightInd w:val="0"/>
        <w:spacing w:after="120"/>
        <w:textAlignment w:val="bottom"/>
        <w:rPr>
          <w:rFonts w:ascii="Century Schoolbook" w:hAnsi="Century Schoolbook"/>
          <w:kern w:val="0"/>
          <w:sz w:val="22"/>
          <w:szCs w:val="22"/>
        </w:rPr>
      </w:pPr>
      <w:r w:rsidRPr="00C9399A">
        <w:rPr>
          <w:rFonts w:ascii="Century Schoolbook" w:hAnsi="Century Schoolbook"/>
          <w:kern w:val="0"/>
          <w:sz w:val="22"/>
          <w:szCs w:val="22"/>
        </w:rPr>
        <w:t xml:space="preserve">The recommended set of bacterial strains (OECD) includes those that detect base substitution and </w:t>
      </w:r>
      <w:proofErr w:type="spellStart"/>
      <w:r w:rsidRPr="00C9399A">
        <w:rPr>
          <w:rFonts w:ascii="Century Schoolbook" w:hAnsi="Century Schoolbook"/>
          <w:kern w:val="0"/>
          <w:sz w:val="22"/>
          <w:szCs w:val="22"/>
        </w:rPr>
        <w:t>frameshift</w:t>
      </w:r>
      <w:proofErr w:type="spellEnd"/>
      <w:r w:rsidRPr="00C9399A">
        <w:rPr>
          <w:rFonts w:ascii="Century Schoolbook" w:hAnsi="Century Schoolbook"/>
          <w:kern w:val="0"/>
          <w:sz w:val="22"/>
          <w:szCs w:val="22"/>
        </w:rPr>
        <w:t xml:space="preserve"> mutations as follows: </w:t>
      </w:r>
    </w:p>
    <w:p w:rsidR="001D26BE" w:rsidRPr="00C9399A" w:rsidRDefault="001D26BE" w:rsidP="004235DD">
      <w:pPr>
        <w:numPr>
          <w:ilvl w:val="0"/>
          <w:numId w:val="7"/>
        </w:numPr>
        <w:tabs>
          <w:tab w:val="clear" w:pos="720"/>
          <w:tab w:val="num" w:pos="450"/>
        </w:tabs>
        <w:autoSpaceDE w:val="0"/>
        <w:autoSpaceDN w:val="0"/>
        <w:adjustRightInd w:val="0"/>
        <w:spacing w:after="120"/>
        <w:ind w:left="450" w:hanging="270"/>
        <w:textAlignment w:val="bottom"/>
        <w:rPr>
          <w:rFonts w:ascii="Century Schoolbook" w:hAnsi="Century Schoolbook"/>
          <w:kern w:val="0"/>
          <w:sz w:val="22"/>
          <w:szCs w:val="22"/>
          <w:lang w:val="nb-NO"/>
        </w:rPr>
      </w:pPr>
      <w:r w:rsidRPr="00C9399A">
        <w:rPr>
          <w:rFonts w:ascii="Century Schoolbook" w:hAnsi="Century Schoolbook"/>
          <w:i/>
          <w:iCs/>
          <w:kern w:val="0"/>
          <w:sz w:val="22"/>
          <w:szCs w:val="22"/>
        </w:rPr>
        <w:t xml:space="preserve">Salmonella </w:t>
      </w:r>
      <w:proofErr w:type="spellStart"/>
      <w:r w:rsidRPr="00C9399A">
        <w:rPr>
          <w:rFonts w:ascii="Century Schoolbook" w:hAnsi="Century Schoolbook"/>
          <w:i/>
          <w:iCs/>
          <w:kern w:val="0"/>
          <w:sz w:val="22"/>
          <w:szCs w:val="22"/>
        </w:rPr>
        <w:t>typhimurium</w:t>
      </w:r>
      <w:proofErr w:type="spellEnd"/>
      <w:r w:rsidRPr="00C9399A">
        <w:rPr>
          <w:rFonts w:ascii="Century Schoolbook" w:hAnsi="Century Schoolbook"/>
          <w:kern w:val="0"/>
          <w:sz w:val="22"/>
          <w:szCs w:val="22"/>
          <w:lang w:val="nb-NO"/>
        </w:rPr>
        <w:t xml:space="preserve"> TA98; </w:t>
      </w:r>
    </w:p>
    <w:p w:rsidR="001D26BE" w:rsidRPr="00C9399A" w:rsidRDefault="001D26BE" w:rsidP="004235DD">
      <w:pPr>
        <w:numPr>
          <w:ilvl w:val="0"/>
          <w:numId w:val="7"/>
        </w:numPr>
        <w:tabs>
          <w:tab w:val="clear" w:pos="720"/>
          <w:tab w:val="num" w:pos="450"/>
        </w:tabs>
        <w:autoSpaceDE w:val="0"/>
        <w:autoSpaceDN w:val="0"/>
        <w:adjustRightInd w:val="0"/>
        <w:spacing w:after="120"/>
        <w:ind w:left="450" w:hanging="270"/>
        <w:textAlignment w:val="bottom"/>
        <w:rPr>
          <w:rFonts w:ascii="Century Schoolbook" w:hAnsi="Century Schoolbook"/>
          <w:kern w:val="0"/>
          <w:sz w:val="22"/>
          <w:szCs w:val="22"/>
          <w:lang w:val="nb-NO"/>
        </w:rPr>
      </w:pPr>
      <w:r w:rsidRPr="00C9399A">
        <w:rPr>
          <w:rFonts w:ascii="Century Schoolbook" w:hAnsi="Century Schoolbook"/>
          <w:i/>
          <w:iCs/>
          <w:kern w:val="0"/>
          <w:sz w:val="22"/>
          <w:szCs w:val="22"/>
        </w:rPr>
        <w:t xml:space="preserve">Salmonella </w:t>
      </w:r>
      <w:proofErr w:type="spellStart"/>
      <w:r w:rsidRPr="00C9399A">
        <w:rPr>
          <w:rFonts w:ascii="Century Schoolbook" w:hAnsi="Century Schoolbook"/>
          <w:i/>
          <w:iCs/>
          <w:kern w:val="0"/>
          <w:sz w:val="22"/>
          <w:szCs w:val="22"/>
        </w:rPr>
        <w:t>typhimurium</w:t>
      </w:r>
      <w:proofErr w:type="spellEnd"/>
      <w:r w:rsidRPr="00C9399A">
        <w:rPr>
          <w:rFonts w:ascii="Century Schoolbook" w:hAnsi="Century Schoolbook"/>
          <w:kern w:val="0"/>
          <w:sz w:val="22"/>
          <w:szCs w:val="22"/>
          <w:lang w:val="nb-NO"/>
        </w:rPr>
        <w:t xml:space="preserve"> TA100; </w:t>
      </w:r>
    </w:p>
    <w:p w:rsidR="001D26BE" w:rsidRPr="00C9399A" w:rsidRDefault="001D26BE" w:rsidP="004235DD">
      <w:pPr>
        <w:numPr>
          <w:ilvl w:val="0"/>
          <w:numId w:val="7"/>
        </w:numPr>
        <w:tabs>
          <w:tab w:val="clear" w:pos="720"/>
          <w:tab w:val="num" w:pos="450"/>
        </w:tabs>
        <w:autoSpaceDE w:val="0"/>
        <w:autoSpaceDN w:val="0"/>
        <w:adjustRightInd w:val="0"/>
        <w:spacing w:after="120"/>
        <w:ind w:left="450" w:hanging="270"/>
        <w:textAlignment w:val="bottom"/>
        <w:rPr>
          <w:rFonts w:ascii="Century Schoolbook" w:hAnsi="Century Schoolbook"/>
          <w:kern w:val="0"/>
          <w:sz w:val="22"/>
          <w:szCs w:val="22"/>
          <w:lang w:val="nb-NO"/>
        </w:rPr>
      </w:pPr>
      <w:r w:rsidRPr="00C9399A">
        <w:rPr>
          <w:rFonts w:ascii="Century Schoolbook" w:hAnsi="Century Schoolbook"/>
          <w:i/>
          <w:iCs/>
          <w:kern w:val="0"/>
          <w:sz w:val="22"/>
          <w:szCs w:val="22"/>
        </w:rPr>
        <w:t xml:space="preserve">Salmonella </w:t>
      </w:r>
      <w:proofErr w:type="spellStart"/>
      <w:r w:rsidRPr="00C9399A">
        <w:rPr>
          <w:rFonts w:ascii="Century Schoolbook" w:hAnsi="Century Schoolbook"/>
          <w:i/>
          <w:iCs/>
          <w:kern w:val="0"/>
          <w:sz w:val="22"/>
          <w:szCs w:val="22"/>
        </w:rPr>
        <w:t>typhimurium</w:t>
      </w:r>
      <w:proofErr w:type="spellEnd"/>
      <w:r w:rsidRPr="00C9399A">
        <w:rPr>
          <w:rFonts w:ascii="Century Schoolbook" w:hAnsi="Century Schoolbook"/>
          <w:kern w:val="0"/>
          <w:sz w:val="22"/>
          <w:szCs w:val="22"/>
          <w:lang w:val="nb-NO"/>
        </w:rPr>
        <w:t xml:space="preserve"> TA1535; </w:t>
      </w:r>
    </w:p>
    <w:p w:rsidR="001D26BE" w:rsidRPr="00C9399A" w:rsidRDefault="001D26BE" w:rsidP="004235DD">
      <w:pPr>
        <w:numPr>
          <w:ilvl w:val="0"/>
          <w:numId w:val="7"/>
        </w:numPr>
        <w:tabs>
          <w:tab w:val="clear" w:pos="720"/>
          <w:tab w:val="num" w:pos="450"/>
        </w:tabs>
        <w:autoSpaceDE w:val="0"/>
        <w:autoSpaceDN w:val="0"/>
        <w:adjustRightInd w:val="0"/>
        <w:spacing w:after="120"/>
        <w:ind w:left="450" w:hanging="270"/>
        <w:textAlignment w:val="bottom"/>
        <w:rPr>
          <w:rFonts w:ascii="Century Schoolbook" w:hAnsi="Century Schoolbook"/>
          <w:kern w:val="0"/>
          <w:sz w:val="22"/>
          <w:szCs w:val="22"/>
          <w:lang w:val="nb-NO"/>
        </w:rPr>
      </w:pPr>
      <w:r w:rsidRPr="00C9399A">
        <w:rPr>
          <w:rFonts w:ascii="Century Schoolbook" w:hAnsi="Century Schoolbook"/>
          <w:kern w:val="0"/>
          <w:sz w:val="22"/>
          <w:szCs w:val="22"/>
          <w:lang w:val="nb-NO"/>
        </w:rPr>
        <w:lastRenderedPageBreak/>
        <w:t xml:space="preserve">either </w:t>
      </w:r>
      <w:r w:rsidRPr="00C9399A">
        <w:rPr>
          <w:rFonts w:ascii="Century Schoolbook" w:hAnsi="Century Schoolbook"/>
          <w:i/>
          <w:iCs/>
          <w:kern w:val="0"/>
          <w:sz w:val="22"/>
          <w:szCs w:val="22"/>
        </w:rPr>
        <w:t xml:space="preserve">Salmonella </w:t>
      </w:r>
      <w:proofErr w:type="spellStart"/>
      <w:r w:rsidRPr="00C9399A">
        <w:rPr>
          <w:rFonts w:ascii="Century Schoolbook" w:hAnsi="Century Schoolbook"/>
          <w:i/>
          <w:iCs/>
          <w:kern w:val="0"/>
          <w:sz w:val="22"/>
          <w:szCs w:val="22"/>
        </w:rPr>
        <w:t>typhimurium</w:t>
      </w:r>
      <w:proofErr w:type="spellEnd"/>
      <w:r w:rsidRPr="00C9399A">
        <w:rPr>
          <w:rFonts w:ascii="Century Schoolbook" w:hAnsi="Century Schoolbook"/>
          <w:kern w:val="0"/>
          <w:sz w:val="22"/>
          <w:szCs w:val="22"/>
          <w:lang w:val="nb-NO"/>
        </w:rPr>
        <w:t xml:space="preserve"> TA1537 </w:t>
      </w:r>
      <w:r w:rsidRPr="00C9399A">
        <w:rPr>
          <w:rFonts w:ascii="Century Schoolbook" w:hAnsi="Century Schoolbook"/>
          <w:kern w:val="0"/>
          <w:sz w:val="22"/>
          <w:szCs w:val="22"/>
          <w:u w:val="single"/>
          <w:lang w:val="nb-NO"/>
        </w:rPr>
        <w:t>or</w:t>
      </w:r>
      <w:r w:rsidRPr="00C9399A">
        <w:rPr>
          <w:rFonts w:ascii="Century Schoolbook" w:hAnsi="Century Schoolbook"/>
          <w:kern w:val="0"/>
          <w:sz w:val="22"/>
          <w:szCs w:val="22"/>
          <w:lang w:val="nb-NO"/>
        </w:rPr>
        <w:t xml:space="preserve"> TA97 </w:t>
      </w:r>
      <w:r w:rsidRPr="00C9399A">
        <w:rPr>
          <w:rFonts w:ascii="Century Schoolbook" w:hAnsi="Century Schoolbook"/>
          <w:kern w:val="0"/>
          <w:sz w:val="22"/>
          <w:szCs w:val="22"/>
          <w:u w:val="single"/>
          <w:lang w:val="nb-NO"/>
        </w:rPr>
        <w:t>or</w:t>
      </w:r>
      <w:r w:rsidRPr="00C9399A">
        <w:rPr>
          <w:rFonts w:ascii="Century Schoolbook" w:hAnsi="Century Schoolbook"/>
          <w:kern w:val="0"/>
          <w:sz w:val="22"/>
          <w:szCs w:val="22"/>
          <w:lang w:val="nb-NO"/>
        </w:rPr>
        <w:t xml:space="preserve"> TA97a; </w:t>
      </w:r>
    </w:p>
    <w:p w:rsidR="001D26BE" w:rsidRPr="00C9399A" w:rsidRDefault="001D26BE" w:rsidP="004235DD">
      <w:pPr>
        <w:numPr>
          <w:ilvl w:val="0"/>
          <w:numId w:val="7"/>
        </w:numPr>
        <w:tabs>
          <w:tab w:val="clear" w:pos="720"/>
          <w:tab w:val="num" w:pos="450"/>
        </w:tabs>
        <w:autoSpaceDE w:val="0"/>
        <w:autoSpaceDN w:val="0"/>
        <w:adjustRightInd w:val="0"/>
        <w:spacing w:after="120"/>
        <w:ind w:left="450" w:hanging="270"/>
        <w:textAlignment w:val="bottom"/>
        <w:rPr>
          <w:rFonts w:ascii="Century Schoolbook" w:hAnsi="Century Schoolbook"/>
          <w:kern w:val="0"/>
          <w:sz w:val="22"/>
          <w:szCs w:val="22"/>
          <w:lang w:val="nb-NO"/>
        </w:rPr>
      </w:pPr>
      <w:r w:rsidRPr="00C9399A">
        <w:rPr>
          <w:rFonts w:ascii="Century Schoolbook" w:hAnsi="Century Schoolbook"/>
          <w:kern w:val="0"/>
          <w:sz w:val="22"/>
          <w:szCs w:val="22"/>
          <w:lang w:val="nb-NO"/>
        </w:rPr>
        <w:t xml:space="preserve">and either </w:t>
      </w:r>
      <w:r w:rsidRPr="00C9399A">
        <w:rPr>
          <w:rFonts w:ascii="Century Schoolbook" w:hAnsi="Century Schoolbook"/>
          <w:i/>
          <w:iCs/>
          <w:kern w:val="0"/>
          <w:sz w:val="22"/>
          <w:szCs w:val="22"/>
          <w:lang w:val="nb-NO"/>
        </w:rPr>
        <w:t>Salmonella typhimurium</w:t>
      </w:r>
      <w:r w:rsidRPr="00C9399A">
        <w:rPr>
          <w:rFonts w:ascii="Century Schoolbook" w:hAnsi="Century Schoolbook"/>
          <w:kern w:val="0"/>
          <w:sz w:val="22"/>
          <w:szCs w:val="22"/>
          <w:lang w:val="nb-NO"/>
        </w:rPr>
        <w:t xml:space="preserve"> TA102 </w:t>
      </w:r>
      <w:r w:rsidRPr="00C9399A">
        <w:rPr>
          <w:rFonts w:ascii="Century Schoolbook" w:hAnsi="Century Schoolbook"/>
          <w:kern w:val="0"/>
          <w:sz w:val="22"/>
          <w:szCs w:val="22"/>
          <w:u w:val="single"/>
          <w:lang w:val="nb-NO"/>
        </w:rPr>
        <w:t>or</w:t>
      </w:r>
      <w:r w:rsidRPr="00C9399A">
        <w:rPr>
          <w:rFonts w:ascii="Century Schoolbook" w:hAnsi="Century Schoolbook"/>
          <w:kern w:val="0"/>
          <w:sz w:val="22"/>
          <w:szCs w:val="22"/>
          <w:lang w:val="nb-NO"/>
        </w:rPr>
        <w:t xml:space="preserve"> </w:t>
      </w:r>
      <w:r w:rsidRPr="00C9399A">
        <w:rPr>
          <w:rFonts w:ascii="Century Schoolbook" w:hAnsi="Century Schoolbook"/>
          <w:i/>
          <w:iCs/>
          <w:kern w:val="0"/>
          <w:sz w:val="22"/>
          <w:szCs w:val="22"/>
          <w:lang w:val="nb-NO"/>
        </w:rPr>
        <w:t xml:space="preserve">Escherichia coli </w:t>
      </w:r>
      <w:r w:rsidRPr="00C9399A">
        <w:rPr>
          <w:rFonts w:ascii="Century Schoolbook" w:hAnsi="Century Schoolbook"/>
          <w:kern w:val="0"/>
          <w:sz w:val="22"/>
          <w:szCs w:val="22"/>
          <w:lang w:val="nb-NO"/>
        </w:rPr>
        <w:t xml:space="preserve">WP2 </w:t>
      </w:r>
      <w:r w:rsidRPr="00C9399A">
        <w:rPr>
          <w:rFonts w:ascii="Century Schoolbook" w:hAnsi="Century Schoolbook"/>
          <w:i/>
          <w:iCs/>
          <w:kern w:val="0"/>
          <w:sz w:val="22"/>
          <w:szCs w:val="22"/>
          <w:lang w:val="nb-NO"/>
        </w:rPr>
        <w:t xml:space="preserve">uvrA </w:t>
      </w:r>
      <w:r w:rsidRPr="00C9399A">
        <w:rPr>
          <w:rFonts w:ascii="Century Schoolbook" w:hAnsi="Century Schoolbook"/>
          <w:kern w:val="0"/>
          <w:sz w:val="22"/>
          <w:szCs w:val="22"/>
          <w:u w:val="single"/>
          <w:lang w:val="nb-NO"/>
        </w:rPr>
        <w:t>or</w:t>
      </w:r>
      <w:r w:rsidRPr="00C9399A">
        <w:rPr>
          <w:rFonts w:ascii="Century Schoolbook" w:hAnsi="Century Schoolbook"/>
          <w:kern w:val="0"/>
          <w:sz w:val="22"/>
          <w:szCs w:val="22"/>
          <w:lang w:val="nb-NO"/>
        </w:rPr>
        <w:t xml:space="preserve"> </w:t>
      </w:r>
      <w:r w:rsidRPr="00C9399A">
        <w:rPr>
          <w:rFonts w:ascii="Century Schoolbook" w:hAnsi="Century Schoolbook"/>
          <w:i/>
          <w:iCs/>
          <w:kern w:val="0"/>
          <w:sz w:val="22"/>
          <w:szCs w:val="22"/>
          <w:lang w:val="nb-NO"/>
        </w:rPr>
        <w:t xml:space="preserve">Escherichia coli </w:t>
      </w:r>
      <w:r w:rsidRPr="00C9399A">
        <w:rPr>
          <w:rFonts w:ascii="Century Schoolbook" w:hAnsi="Century Schoolbook"/>
          <w:kern w:val="0"/>
          <w:sz w:val="22"/>
          <w:szCs w:val="22"/>
          <w:lang w:val="nb-NO"/>
        </w:rPr>
        <w:t xml:space="preserve">WP2 </w:t>
      </w:r>
      <w:r w:rsidRPr="00C9399A">
        <w:rPr>
          <w:rFonts w:ascii="Century Schoolbook" w:hAnsi="Century Schoolbook"/>
          <w:i/>
          <w:iCs/>
          <w:kern w:val="0"/>
          <w:sz w:val="22"/>
          <w:szCs w:val="22"/>
          <w:lang w:val="nb-NO"/>
        </w:rPr>
        <w:t xml:space="preserve">uvrA </w:t>
      </w:r>
      <w:r w:rsidRPr="00C9399A">
        <w:rPr>
          <w:rFonts w:ascii="Century Schoolbook" w:hAnsi="Century Schoolbook"/>
          <w:kern w:val="0"/>
          <w:sz w:val="22"/>
          <w:szCs w:val="22"/>
          <w:lang w:val="nb-NO"/>
        </w:rPr>
        <w:t>(pKM101).</w:t>
      </w:r>
    </w:p>
    <w:p w:rsidR="001D26BE" w:rsidRPr="00C9399A" w:rsidRDefault="001D26BE" w:rsidP="00E44012">
      <w:pPr>
        <w:autoSpaceDE w:val="0"/>
        <w:autoSpaceDN w:val="0"/>
        <w:adjustRightInd w:val="0"/>
        <w:spacing w:after="120"/>
        <w:textAlignment w:val="bottom"/>
        <w:rPr>
          <w:rFonts w:ascii="Century Schoolbook" w:hAnsi="Century Schoolbook"/>
          <w:kern w:val="0"/>
          <w:sz w:val="22"/>
          <w:szCs w:val="22"/>
        </w:rPr>
      </w:pPr>
      <w:r w:rsidRPr="00C9399A">
        <w:rPr>
          <w:rFonts w:ascii="Century Schoolbook" w:hAnsi="Century Schoolbook"/>
          <w:bCs/>
          <w:kern w:val="0"/>
          <w:sz w:val="22"/>
          <w:szCs w:val="22"/>
        </w:rPr>
        <w:t>One difference from the OECD and IWGT recommendations is that, based on experience with testing pharmaceuticals, a single bacterial mutation (</w:t>
      </w:r>
      <w:r w:rsidRPr="00C9399A">
        <w:rPr>
          <w:rFonts w:ascii="Century Schoolbook" w:hAnsi="Century Schoolbook"/>
          <w:kern w:val="0"/>
          <w:sz w:val="22"/>
          <w:szCs w:val="22"/>
        </w:rPr>
        <w:t>Ames) test is considered sufficient when it is clearly negative or positive, and carried out with a fully adequate protocol including all strains with and without metabolic activation, a suitable dose range that fulfills criteria for top dose selection, and appropriate positive and negative controls.  Also, f</w:t>
      </w:r>
      <w:r w:rsidRPr="00C9399A">
        <w:rPr>
          <w:rFonts w:ascii="Century Schoolbook" w:hAnsi="Century Schoolbook"/>
          <w:bCs/>
          <w:kern w:val="0"/>
          <w:sz w:val="22"/>
          <w:szCs w:val="22"/>
        </w:rPr>
        <w:t>or testing pharmaceuticals, either the p</w:t>
      </w:r>
      <w:r w:rsidRPr="00C9399A">
        <w:rPr>
          <w:rFonts w:ascii="Century Schoolbook" w:hAnsi="Century Schoolbook"/>
          <w:kern w:val="0"/>
          <w:sz w:val="22"/>
          <w:szCs w:val="22"/>
        </w:rPr>
        <w:t>late incorporation or the pre-incubation method is considered appropriate for this single experiment (</w:t>
      </w:r>
      <w:r w:rsidR="00DB33C4">
        <w:rPr>
          <w:rFonts w:ascii="Century Schoolbook" w:hAnsi="Century Schoolbook"/>
          <w:kern w:val="0"/>
          <w:sz w:val="22"/>
          <w:szCs w:val="22"/>
        </w:rPr>
        <w:t>Note</w:t>
      </w:r>
      <w:r w:rsidRPr="00C9399A">
        <w:rPr>
          <w:rFonts w:ascii="Century Schoolbook" w:hAnsi="Century Schoolbook"/>
          <w:kern w:val="0"/>
          <w:sz w:val="22"/>
          <w:szCs w:val="22"/>
        </w:rPr>
        <w:t xml:space="preserve"> 7).  Equivocal or weak positive results might indicate that it would be appropriate to repeat the test, possibly with a modified protocol such as appropriate spacing of dose levels.</w:t>
      </w:r>
    </w:p>
    <w:p w:rsidR="001D26BE" w:rsidRPr="0078046D" w:rsidRDefault="001D26BE" w:rsidP="00AA186A">
      <w:pPr>
        <w:pStyle w:val="Heading2"/>
        <w:numPr>
          <w:ilvl w:val="1"/>
          <w:numId w:val="36"/>
        </w:numPr>
        <w:spacing w:before="180" w:after="120"/>
        <w:ind w:left="720" w:hanging="720"/>
        <w:rPr>
          <w:rFonts w:ascii="Century Schoolbook" w:hAnsi="Century Schoolbook"/>
          <w:i w:val="0"/>
          <w:kern w:val="0"/>
          <w:sz w:val="22"/>
          <w:szCs w:val="22"/>
        </w:rPr>
      </w:pPr>
      <w:bookmarkStart w:id="44" w:name="_Toc309742185"/>
      <w:bookmarkStart w:id="45" w:name="_Toc309835283"/>
      <w:r w:rsidRPr="0078046D">
        <w:rPr>
          <w:rFonts w:ascii="Century Schoolbook" w:hAnsi="Century Schoolbook"/>
          <w:i w:val="0"/>
          <w:kern w:val="0"/>
          <w:sz w:val="22"/>
          <w:szCs w:val="22"/>
        </w:rPr>
        <w:t xml:space="preserve">Recommended </w:t>
      </w:r>
      <w:r w:rsidR="001303EB" w:rsidRPr="0078046D">
        <w:rPr>
          <w:rFonts w:ascii="Century Schoolbook" w:hAnsi="Century Schoolbook"/>
          <w:i w:val="0"/>
          <w:kern w:val="0"/>
          <w:sz w:val="22"/>
          <w:szCs w:val="22"/>
        </w:rPr>
        <w:t>Protocols for the Mammalian Cell Assays</w:t>
      </w:r>
      <w:bookmarkEnd w:id="44"/>
      <w:bookmarkEnd w:id="45"/>
    </w:p>
    <w:p w:rsidR="001D26BE" w:rsidRPr="00C9399A" w:rsidRDefault="001D26BE" w:rsidP="00E44012">
      <w:pPr>
        <w:autoSpaceDE w:val="0"/>
        <w:autoSpaceDN w:val="0"/>
        <w:adjustRightInd w:val="0"/>
        <w:spacing w:after="120"/>
        <w:textAlignment w:val="bottom"/>
        <w:rPr>
          <w:rFonts w:ascii="Century Schoolbook" w:hAnsi="Century Schoolbook"/>
          <w:bCs/>
          <w:kern w:val="0"/>
          <w:sz w:val="22"/>
          <w:szCs w:val="22"/>
        </w:rPr>
      </w:pPr>
      <w:r w:rsidRPr="00C9399A">
        <w:rPr>
          <w:rFonts w:ascii="Century Schoolbook" w:hAnsi="Century Schoolbook"/>
          <w:bCs/>
          <w:kern w:val="0"/>
          <w:sz w:val="22"/>
          <w:szCs w:val="22"/>
        </w:rPr>
        <w:t>Advice on the protocols is given in the OECD guidelines (1997) and the IWGT publications (e.g., Kirsch-</w:t>
      </w:r>
      <w:proofErr w:type="spellStart"/>
      <w:r w:rsidRPr="00C9399A">
        <w:rPr>
          <w:rFonts w:ascii="Century Schoolbook" w:hAnsi="Century Schoolbook"/>
          <w:bCs/>
          <w:kern w:val="0"/>
          <w:sz w:val="22"/>
          <w:szCs w:val="22"/>
        </w:rPr>
        <w:t>Volders</w:t>
      </w:r>
      <w:proofErr w:type="spellEnd"/>
      <w:r w:rsidRPr="00C9399A">
        <w:rPr>
          <w:rFonts w:ascii="Century Schoolbook" w:hAnsi="Century Schoolbook"/>
          <w:bCs/>
          <w:kern w:val="0"/>
          <w:sz w:val="22"/>
          <w:szCs w:val="22"/>
        </w:rPr>
        <w:t xml:space="preserve"> et al., 2003; Moore et al., 2006).  Advice on interpretation of MLA results is also given (Moore et al., 2006), including use of a global evaluation factor.  Several differences from these recommendations are noted here for testing pharmaceuticals, notably for selection of the top concentration. (</w:t>
      </w:r>
      <w:r w:rsidR="00311037">
        <w:rPr>
          <w:rFonts w:ascii="Century Schoolbook" w:hAnsi="Century Schoolbook"/>
          <w:bCs/>
          <w:kern w:val="0"/>
          <w:sz w:val="22"/>
          <w:szCs w:val="22"/>
        </w:rPr>
        <w:t>See details below.)</w:t>
      </w:r>
    </w:p>
    <w:p w:rsidR="001D26BE" w:rsidRPr="008B2ED1" w:rsidRDefault="001D26BE" w:rsidP="008B2ED1">
      <w:pPr>
        <w:pStyle w:val="Heading3"/>
        <w:numPr>
          <w:ilvl w:val="2"/>
          <w:numId w:val="36"/>
        </w:numPr>
        <w:spacing w:before="120"/>
        <w:rPr>
          <w:rFonts w:ascii="Century Schoolbook" w:hAnsi="Century Schoolbook"/>
          <w:bCs w:val="0"/>
          <w:i/>
          <w:kern w:val="0"/>
          <w:sz w:val="22"/>
          <w:szCs w:val="22"/>
        </w:rPr>
      </w:pPr>
      <w:bookmarkStart w:id="46" w:name="_Toc309742186"/>
      <w:bookmarkStart w:id="47" w:name="_Toc309835284"/>
      <w:r w:rsidRPr="008B2ED1">
        <w:rPr>
          <w:rFonts w:ascii="Century Schoolbook" w:hAnsi="Century Schoolbook"/>
          <w:bCs w:val="0"/>
          <w:i/>
          <w:kern w:val="0"/>
          <w:sz w:val="22"/>
          <w:szCs w:val="22"/>
        </w:rPr>
        <w:t xml:space="preserve">Selection </w:t>
      </w:r>
      <w:r w:rsidR="001303EB" w:rsidRPr="008B2ED1">
        <w:rPr>
          <w:rFonts w:ascii="Century Schoolbook" w:hAnsi="Century Schoolbook"/>
          <w:bCs w:val="0"/>
          <w:i/>
          <w:kern w:val="0"/>
          <w:sz w:val="22"/>
          <w:szCs w:val="22"/>
        </w:rPr>
        <w:t>of Top Concentration</w:t>
      </w:r>
      <w:bookmarkEnd w:id="46"/>
      <w:bookmarkEnd w:id="47"/>
    </w:p>
    <w:p w:rsidR="001D26BE" w:rsidRPr="00C9399A" w:rsidRDefault="001D26BE" w:rsidP="00311037">
      <w:pPr>
        <w:autoSpaceDE w:val="0"/>
        <w:autoSpaceDN w:val="0"/>
        <w:adjustRightInd w:val="0"/>
        <w:spacing w:after="60"/>
        <w:textAlignment w:val="bottom"/>
        <w:rPr>
          <w:rFonts w:ascii="Century Schoolbook" w:hAnsi="Century Schoolbook"/>
          <w:kern w:val="0"/>
          <w:sz w:val="22"/>
          <w:szCs w:val="22"/>
          <w:u w:val="single"/>
        </w:rPr>
      </w:pPr>
      <w:r w:rsidRPr="00C9399A">
        <w:rPr>
          <w:rFonts w:ascii="Century Schoolbook" w:hAnsi="Century Schoolbook"/>
          <w:kern w:val="0"/>
          <w:sz w:val="22"/>
          <w:szCs w:val="22"/>
          <w:u w:val="single"/>
        </w:rPr>
        <w:t>Maximum concentration</w:t>
      </w:r>
    </w:p>
    <w:p w:rsidR="001D26BE" w:rsidRPr="00C9399A" w:rsidRDefault="001D26BE" w:rsidP="00E44012">
      <w:pPr>
        <w:autoSpaceDE w:val="0"/>
        <w:autoSpaceDN w:val="0"/>
        <w:adjustRightInd w:val="0"/>
        <w:spacing w:after="120"/>
        <w:textAlignment w:val="bottom"/>
        <w:rPr>
          <w:rFonts w:ascii="Century Schoolbook" w:hAnsi="Century Schoolbook"/>
          <w:kern w:val="0"/>
          <w:sz w:val="22"/>
          <w:szCs w:val="22"/>
        </w:rPr>
      </w:pPr>
      <w:r w:rsidRPr="00C9399A">
        <w:rPr>
          <w:rFonts w:ascii="Century Schoolbook" w:hAnsi="Century Schoolbook"/>
          <w:kern w:val="0"/>
          <w:sz w:val="22"/>
          <w:szCs w:val="22"/>
        </w:rPr>
        <w:t xml:space="preserve">The maximum top concentration recommended is 1 </w:t>
      </w:r>
      <w:proofErr w:type="spellStart"/>
      <w:r w:rsidRPr="00C9399A">
        <w:rPr>
          <w:rFonts w:ascii="Century Schoolbook" w:hAnsi="Century Schoolbook"/>
          <w:kern w:val="0"/>
          <w:sz w:val="22"/>
          <w:szCs w:val="22"/>
        </w:rPr>
        <w:t>mM</w:t>
      </w:r>
      <w:proofErr w:type="spellEnd"/>
      <w:r w:rsidRPr="00C9399A">
        <w:rPr>
          <w:rFonts w:ascii="Century Schoolbook" w:hAnsi="Century Schoolbook"/>
          <w:kern w:val="0"/>
          <w:sz w:val="22"/>
          <w:szCs w:val="22"/>
        </w:rPr>
        <w:t xml:space="preserve"> or 0.5 mg/ml, whichever is lower, when not limited by solubility in solvent or culture medium or by </w:t>
      </w:r>
      <w:proofErr w:type="spellStart"/>
      <w:r w:rsidRPr="00C9399A">
        <w:rPr>
          <w:rFonts w:ascii="Century Schoolbook" w:hAnsi="Century Schoolbook"/>
          <w:kern w:val="0"/>
          <w:sz w:val="22"/>
          <w:szCs w:val="22"/>
        </w:rPr>
        <w:t>cytotoxicity</w:t>
      </w:r>
      <w:proofErr w:type="spellEnd"/>
      <w:r w:rsidRPr="00C9399A">
        <w:rPr>
          <w:rFonts w:ascii="Century Schoolbook" w:hAnsi="Century Schoolbook"/>
          <w:kern w:val="0"/>
          <w:sz w:val="22"/>
          <w:szCs w:val="22"/>
        </w:rPr>
        <w:t xml:space="preserve"> (</w:t>
      </w:r>
      <w:r w:rsidR="00DB33C4">
        <w:rPr>
          <w:rFonts w:ascii="Century Schoolbook" w:hAnsi="Century Schoolbook"/>
          <w:kern w:val="0"/>
          <w:sz w:val="22"/>
          <w:szCs w:val="22"/>
        </w:rPr>
        <w:t>Note</w:t>
      </w:r>
      <w:r w:rsidRPr="00C9399A">
        <w:rPr>
          <w:rFonts w:ascii="Century Schoolbook" w:hAnsi="Century Schoolbook"/>
          <w:kern w:val="0"/>
          <w:sz w:val="22"/>
          <w:szCs w:val="22"/>
        </w:rPr>
        <w:t xml:space="preserve"> 8).</w:t>
      </w:r>
    </w:p>
    <w:p w:rsidR="001D26BE" w:rsidRPr="00C9399A" w:rsidRDefault="001D26BE" w:rsidP="00311037">
      <w:pPr>
        <w:autoSpaceDE w:val="0"/>
        <w:autoSpaceDN w:val="0"/>
        <w:adjustRightInd w:val="0"/>
        <w:spacing w:before="120" w:after="60"/>
        <w:textAlignment w:val="bottom"/>
        <w:rPr>
          <w:rFonts w:ascii="Century Schoolbook" w:hAnsi="Century Schoolbook"/>
          <w:bCs/>
          <w:kern w:val="0"/>
          <w:sz w:val="22"/>
          <w:szCs w:val="22"/>
          <w:u w:val="single"/>
        </w:rPr>
      </w:pPr>
      <w:r w:rsidRPr="00C9399A">
        <w:rPr>
          <w:rFonts w:ascii="Century Schoolbook" w:hAnsi="Century Schoolbook"/>
          <w:bCs/>
          <w:kern w:val="0"/>
          <w:sz w:val="22"/>
          <w:szCs w:val="22"/>
          <w:u w:val="single"/>
        </w:rPr>
        <w:t>Limit of solubility</w:t>
      </w:r>
    </w:p>
    <w:p w:rsidR="001D26BE" w:rsidRPr="00C9399A" w:rsidRDefault="001D26BE" w:rsidP="00E44012">
      <w:pPr>
        <w:autoSpaceDE w:val="0"/>
        <w:autoSpaceDN w:val="0"/>
        <w:adjustRightInd w:val="0"/>
        <w:spacing w:after="120"/>
        <w:textAlignment w:val="bottom"/>
        <w:rPr>
          <w:rFonts w:ascii="Century Schoolbook" w:hAnsi="Century Schoolbook"/>
          <w:kern w:val="0"/>
          <w:sz w:val="22"/>
          <w:szCs w:val="22"/>
        </w:rPr>
      </w:pPr>
      <w:r w:rsidRPr="00C9399A">
        <w:rPr>
          <w:rFonts w:ascii="Century Schoolbook" w:hAnsi="Century Schoolbook"/>
          <w:kern w:val="0"/>
          <w:sz w:val="22"/>
          <w:szCs w:val="22"/>
        </w:rPr>
        <w:t xml:space="preserve">When solubility is limiting, the maximum concentration, if not limited by </w:t>
      </w:r>
      <w:proofErr w:type="spellStart"/>
      <w:r w:rsidRPr="00C9399A">
        <w:rPr>
          <w:rFonts w:ascii="Century Schoolbook" w:hAnsi="Century Schoolbook"/>
          <w:kern w:val="0"/>
          <w:sz w:val="22"/>
          <w:szCs w:val="22"/>
        </w:rPr>
        <w:t>cytotoxicity</w:t>
      </w:r>
      <w:proofErr w:type="spellEnd"/>
      <w:r w:rsidRPr="00C9399A">
        <w:rPr>
          <w:rFonts w:ascii="Century Schoolbook" w:hAnsi="Century Schoolbook"/>
          <w:kern w:val="0"/>
          <w:sz w:val="22"/>
          <w:szCs w:val="22"/>
        </w:rPr>
        <w:t>, should be the lowest concentration at which minimal precipitate is visible in cultures, provided there is no interference with scoring.  Evaluation of precipitation can be done by naked eye or by methods such as light microscopy, noting precipitate that persists or appears during culture (by the end of treatment).</w:t>
      </w:r>
    </w:p>
    <w:p w:rsidR="001D26BE" w:rsidRPr="00C9399A" w:rsidRDefault="001D26BE" w:rsidP="00311037">
      <w:pPr>
        <w:autoSpaceDE w:val="0"/>
        <w:autoSpaceDN w:val="0"/>
        <w:adjustRightInd w:val="0"/>
        <w:spacing w:before="120" w:after="60"/>
        <w:textAlignment w:val="bottom"/>
        <w:rPr>
          <w:rFonts w:ascii="Century Schoolbook" w:hAnsi="Century Schoolbook"/>
          <w:bCs/>
          <w:kern w:val="0"/>
          <w:sz w:val="22"/>
          <w:szCs w:val="22"/>
          <w:u w:val="single"/>
        </w:rPr>
      </w:pPr>
      <w:proofErr w:type="spellStart"/>
      <w:r w:rsidRPr="00C9399A">
        <w:rPr>
          <w:rFonts w:ascii="Century Schoolbook" w:hAnsi="Century Schoolbook"/>
          <w:bCs/>
          <w:kern w:val="0"/>
          <w:sz w:val="22"/>
          <w:szCs w:val="22"/>
          <w:u w:val="single"/>
        </w:rPr>
        <w:t>Cytotoxicity</w:t>
      </w:r>
      <w:proofErr w:type="spellEnd"/>
    </w:p>
    <w:p w:rsidR="001D26BE" w:rsidRPr="00C9399A" w:rsidRDefault="001D26BE" w:rsidP="004A62F4">
      <w:pPr>
        <w:autoSpaceDE w:val="0"/>
        <w:autoSpaceDN w:val="0"/>
        <w:adjustRightInd w:val="0"/>
        <w:spacing w:after="120"/>
        <w:textAlignment w:val="bottom"/>
        <w:rPr>
          <w:rFonts w:ascii="Century Schoolbook" w:hAnsi="Century Schoolbook"/>
          <w:kern w:val="0"/>
          <w:sz w:val="22"/>
          <w:szCs w:val="22"/>
        </w:rPr>
      </w:pPr>
      <w:r w:rsidRPr="00C9399A">
        <w:rPr>
          <w:rFonts w:ascii="Century Schoolbook" w:hAnsi="Century Schoolbook"/>
          <w:kern w:val="0"/>
          <w:sz w:val="22"/>
          <w:szCs w:val="22"/>
        </w:rPr>
        <w:t xml:space="preserve">For </w:t>
      </w:r>
      <w:r w:rsidRPr="00C9399A">
        <w:rPr>
          <w:rFonts w:ascii="Century Schoolbook" w:hAnsi="Century Schoolbook"/>
          <w:i/>
          <w:kern w:val="0"/>
          <w:sz w:val="22"/>
          <w:szCs w:val="22"/>
        </w:rPr>
        <w:t>in vitro</w:t>
      </w:r>
      <w:r w:rsidRPr="00C9399A">
        <w:rPr>
          <w:rFonts w:ascii="Century Schoolbook" w:hAnsi="Century Schoolbook"/>
          <w:kern w:val="0"/>
          <w:sz w:val="22"/>
          <w:szCs w:val="22"/>
        </w:rPr>
        <w:t xml:space="preserve"> cytogenetic assays for metaphase chromosome aberrations or for micronuclei, </w:t>
      </w:r>
      <w:proofErr w:type="spellStart"/>
      <w:r w:rsidRPr="00C9399A">
        <w:rPr>
          <w:rFonts w:ascii="Century Schoolbook" w:hAnsi="Century Schoolbook"/>
          <w:kern w:val="0"/>
          <w:sz w:val="22"/>
          <w:szCs w:val="22"/>
        </w:rPr>
        <w:t>cytotoxicity</w:t>
      </w:r>
      <w:proofErr w:type="spellEnd"/>
      <w:r w:rsidRPr="00C9399A">
        <w:rPr>
          <w:rFonts w:ascii="Century Schoolbook" w:hAnsi="Century Schoolbook"/>
          <w:kern w:val="0"/>
          <w:sz w:val="22"/>
          <w:szCs w:val="22"/>
        </w:rPr>
        <w:t xml:space="preserve"> should not exceed a reduction of about 50% in cell growth (</w:t>
      </w:r>
      <w:r w:rsidR="00DB33C4">
        <w:rPr>
          <w:rFonts w:ascii="Century Schoolbook" w:hAnsi="Century Schoolbook"/>
          <w:kern w:val="0"/>
          <w:sz w:val="22"/>
          <w:szCs w:val="22"/>
        </w:rPr>
        <w:t>Note</w:t>
      </w:r>
      <w:r w:rsidRPr="00C9399A">
        <w:rPr>
          <w:rFonts w:ascii="Century Schoolbook" w:hAnsi="Century Schoolbook"/>
          <w:kern w:val="0"/>
          <w:sz w:val="22"/>
          <w:szCs w:val="22"/>
        </w:rPr>
        <w:t xml:space="preserve">s 9 and 10).  For the MLA, at the top dose there should be 80-90% </w:t>
      </w:r>
      <w:proofErr w:type="spellStart"/>
      <w:r w:rsidRPr="00C9399A">
        <w:rPr>
          <w:rFonts w:ascii="Century Schoolbook" w:hAnsi="Century Schoolbook"/>
          <w:kern w:val="0"/>
          <w:sz w:val="22"/>
          <w:szCs w:val="22"/>
        </w:rPr>
        <w:t>cytotoxicity</w:t>
      </w:r>
      <w:proofErr w:type="spellEnd"/>
      <w:r w:rsidRPr="00C9399A">
        <w:rPr>
          <w:rFonts w:ascii="Century Schoolbook" w:hAnsi="Century Schoolbook"/>
          <w:kern w:val="0"/>
          <w:sz w:val="22"/>
          <w:szCs w:val="22"/>
        </w:rPr>
        <w:t xml:space="preserve"> as measured by an RTG between 20-10% (</w:t>
      </w:r>
      <w:r w:rsidR="00DB33C4">
        <w:rPr>
          <w:rFonts w:ascii="Century Schoolbook" w:hAnsi="Century Schoolbook"/>
          <w:kern w:val="0"/>
          <w:sz w:val="22"/>
          <w:szCs w:val="22"/>
        </w:rPr>
        <w:t>Note</w:t>
      </w:r>
      <w:r w:rsidRPr="00C9399A">
        <w:rPr>
          <w:rFonts w:ascii="Century Schoolbook" w:hAnsi="Century Schoolbook"/>
          <w:kern w:val="0"/>
          <w:sz w:val="22"/>
          <w:szCs w:val="22"/>
        </w:rPr>
        <w:t xml:space="preserve"> 9).</w:t>
      </w:r>
    </w:p>
    <w:p w:rsidR="001D26BE" w:rsidRPr="008B2ED1" w:rsidRDefault="001D26BE" w:rsidP="008B2ED1">
      <w:pPr>
        <w:pStyle w:val="Heading3"/>
        <w:numPr>
          <w:ilvl w:val="2"/>
          <w:numId w:val="36"/>
        </w:numPr>
        <w:spacing w:before="120"/>
        <w:rPr>
          <w:rFonts w:ascii="Century Schoolbook" w:hAnsi="Century Schoolbook"/>
          <w:i/>
          <w:kern w:val="0"/>
          <w:sz w:val="22"/>
          <w:szCs w:val="22"/>
        </w:rPr>
      </w:pPr>
      <w:bookmarkStart w:id="48" w:name="_Toc309742187"/>
      <w:bookmarkStart w:id="49" w:name="_Toc309835285"/>
      <w:r w:rsidRPr="008B2ED1">
        <w:rPr>
          <w:rFonts w:ascii="Century Schoolbook" w:hAnsi="Century Schoolbook"/>
          <w:i/>
          <w:kern w:val="0"/>
          <w:sz w:val="22"/>
          <w:szCs w:val="22"/>
        </w:rPr>
        <w:t xml:space="preserve">Study </w:t>
      </w:r>
      <w:r w:rsidR="001303EB" w:rsidRPr="008B2ED1">
        <w:rPr>
          <w:rFonts w:ascii="Century Schoolbook" w:hAnsi="Century Schoolbook"/>
          <w:i/>
          <w:kern w:val="0"/>
          <w:sz w:val="22"/>
          <w:szCs w:val="22"/>
        </w:rPr>
        <w:t>Design/</w:t>
      </w:r>
      <w:r w:rsidRPr="008B2ED1">
        <w:rPr>
          <w:rFonts w:ascii="Century Schoolbook" w:hAnsi="Century Schoolbook"/>
          <w:i/>
          <w:kern w:val="0"/>
          <w:sz w:val="22"/>
          <w:szCs w:val="22"/>
        </w:rPr>
        <w:t xml:space="preserve">Test </w:t>
      </w:r>
      <w:r w:rsidR="001303EB" w:rsidRPr="008B2ED1">
        <w:rPr>
          <w:rFonts w:ascii="Century Schoolbook" w:hAnsi="Century Schoolbook"/>
          <w:i/>
          <w:kern w:val="0"/>
          <w:sz w:val="22"/>
          <w:szCs w:val="22"/>
        </w:rPr>
        <w:t>Protocols</w:t>
      </w:r>
      <w:bookmarkEnd w:id="48"/>
      <w:bookmarkEnd w:id="49"/>
    </w:p>
    <w:p w:rsidR="001D26BE" w:rsidRPr="00C9399A" w:rsidRDefault="001D26BE" w:rsidP="004A62F4">
      <w:pPr>
        <w:autoSpaceDE w:val="0"/>
        <w:autoSpaceDN w:val="0"/>
        <w:adjustRightInd w:val="0"/>
        <w:spacing w:after="120"/>
        <w:textAlignment w:val="bottom"/>
        <w:rPr>
          <w:rFonts w:ascii="Century Schoolbook" w:hAnsi="Century Schoolbook"/>
          <w:kern w:val="0"/>
          <w:sz w:val="22"/>
          <w:szCs w:val="22"/>
        </w:rPr>
      </w:pPr>
      <w:r w:rsidRPr="00C9399A">
        <w:rPr>
          <w:rFonts w:ascii="Century Schoolbook" w:hAnsi="Century Schoolbook"/>
          <w:kern w:val="0"/>
          <w:sz w:val="22"/>
          <w:szCs w:val="22"/>
        </w:rPr>
        <w:t xml:space="preserve">For the cytogenetic evaluation of chromosomal damage in metaphase cells </w:t>
      </w:r>
      <w:r w:rsidRPr="00C9399A">
        <w:rPr>
          <w:rFonts w:ascii="Century Schoolbook" w:hAnsi="Century Schoolbook"/>
          <w:i/>
          <w:iCs/>
          <w:kern w:val="0"/>
          <w:sz w:val="22"/>
          <w:szCs w:val="22"/>
        </w:rPr>
        <w:t>in vitro</w:t>
      </w:r>
      <w:r w:rsidRPr="00C9399A">
        <w:rPr>
          <w:rFonts w:ascii="Century Schoolbook" w:hAnsi="Century Schoolbook"/>
          <w:kern w:val="0"/>
          <w:sz w:val="22"/>
          <w:szCs w:val="22"/>
        </w:rPr>
        <w:t xml:space="preserve">, the test protocol should include the conduct of tests with and without metabolic activation, with appropriate positive and negative controls.  Treatment with the test articles should be for 3 to 6 hours with a sampling time approximately 1.5 normal cell cycles from the beginning of the treatment.  A continuous treatment without metabolic activation up to the sampling time of approximately 1.5 normal cell cycles should be conducted in case of negative or equivocal results for both short treatments, with and without metabolic activation.  The same principles apply to the </w:t>
      </w:r>
      <w:r w:rsidRPr="00C9399A">
        <w:rPr>
          <w:rFonts w:ascii="Century Schoolbook" w:hAnsi="Century Schoolbook"/>
          <w:i/>
          <w:kern w:val="0"/>
          <w:sz w:val="22"/>
          <w:szCs w:val="22"/>
        </w:rPr>
        <w:t>in vitro</w:t>
      </w:r>
      <w:r w:rsidRPr="00C9399A">
        <w:rPr>
          <w:rFonts w:ascii="Century Schoolbook" w:hAnsi="Century Schoolbook"/>
          <w:kern w:val="0"/>
          <w:sz w:val="22"/>
          <w:szCs w:val="22"/>
        </w:rPr>
        <w:t xml:space="preserve"> micronucleus assay, except that the sampling time is typically 1.5 to 2 normal cell cycles from the beginning of treatment to allow cells to complete mitosis and enter the next </w:t>
      </w:r>
      <w:proofErr w:type="spellStart"/>
      <w:r w:rsidRPr="00C9399A">
        <w:rPr>
          <w:rFonts w:ascii="Century Schoolbook" w:hAnsi="Century Schoolbook"/>
          <w:kern w:val="0"/>
          <w:sz w:val="22"/>
          <w:szCs w:val="22"/>
        </w:rPr>
        <w:t>interphase</w:t>
      </w:r>
      <w:proofErr w:type="spellEnd"/>
      <w:r w:rsidRPr="00C9399A">
        <w:rPr>
          <w:rFonts w:ascii="Century Schoolbook" w:hAnsi="Century Schoolbook"/>
          <w:kern w:val="0"/>
          <w:sz w:val="22"/>
          <w:szCs w:val="22"/>
        </w:rPr>
        <w:t xml:space="preserve">.  For both </w:t>
      </w:r>
      <w:r w:rsidRPr="00C9399A">
        <w:rPr>
          <w:rFonts w:ascii="Century Schoolbook" w:hAnsi="Century Schoolbook"/>
          <w:i/>
          <w:kern w:val="0"/>
          <w:sz w:val="22"/>
          <w:szCs w:val="22"/>
        </w:rPr>
        <w:t>in vitro</w:t>
      </w:r>
      <w:r w:rsidRPr="00C9399A">
        <w:rPr>
          <w:rFonts w:ascii="Century Schoolbook" w:hAnsi="Century Schoolbook"/>
          <w:kern w:val="0"/>
          <w:sz w:val="22"/>
          <w:szCs w:val="22"/>
        </w:rPr>
        <w:t xml:space="preserve"> cytogenetic assays, there might be a need to modify the protocol for certain types of chemicals that could be more readily detected by longer treatment, </w:t>
      </w:r>
      <w:r w:rsidRPr="00C9399A">
        <w:rPr>
          <w:rFonts w:ascii="Century Schoolbook" w:hAnsi="Century Schoolbook"/>
          <w:kern w:val="0"/>
          <w:sz w:val="22"/>
          <w:szCs w:val="22"/>
        </w:rPr>
        <w:lastRenderedPageBreak/>
        <w:t xml:space="preserve">delayed sampling times or recovery periods, e.g., some nucleoside analogues and some nitrosamines.  In the metaphase aberration assay, information on the </w:t>
      </w:r>
      <w:proofErr w:type="spellStart"/>
      <w:r w:rsidRPr="00C9399A">
        <w:rPr>
          <w:rFonts w:ascii="Century Schoolbook" w:hAnsi="Century Schoolbook"/>
          <w:kern w:val="0"/>
          <w:sz w:val="22"/>
          <w:szCs w:val="22"/>
        </w:rPr>
        <w:t>ploidy</w:t>
      </w:r>
      <w:proofErr w:type="spellEnd"/>
      <w:r w:rsidRPr="00C9399A">
        <w:rPr>
          <w:rFonts w:ascii="Century Schoolbook" w:hAnsi="Century Schoolbook"/>
          <w:kern w:val="0"/>
          <w:sz w:val="22"/>
          <w:szCs w:val="22"/>
        </w:rPr>
        <w:t xml:space="preserve"> status should be obtained by recording the incidence of </w:t>
      </w:r>
      <w:proofErr w:type="spellStart"/>
      <w:r w:rsidRPr="00C9399A">
        <w:rPr>
          <w:rFonts w:ascii="Century Schoolbook" w:hAnsi="Century Schoolbook"/>
          <w:kern w:val="0"/>
          <w:sz w:val="22"/>
          <w:szCs w:val="22"/>
        </w:rPr>
        <w:t>polyploid</w:t>
      </w:r>
      <w:proofErr w:type="spellEnd"/>
      <w:r w:rsidRPr="00C9399A">
        <w:rPr>
          <w:rFonts w:ascii="Century Schoolbook" w:hAnsi="Century Schoolbook"/>
          <w:kern w:val="0"/>
          <w:sz w:val="22"/>
          <w:szCs w:val="22"/>
        </w:rPr>
        <w:t xml:space="preserve"> (including </w:t>
      </w:r>
      <w:proofErr w:type="spellStart"/>
      <w:r w:rsidRPr="00C9399A">
        <w:rPr>
          <w:rFonts w:ascii="Century Schoolbook" w:hAnsi="Century Schoolbook"/>
          <w:kern w:val="0"/>
          <w:sz w:val="22"/>
          <w:szCs w:val="22"/>
        </w:rPr>
        <w:t>endoreduplicated</w:t>
      </w:r>
      <w:proofErr w:type="spellEnd"/>
      <w:r w:rsidRPr="00C9399A">
        <w:rPr>
          <w:rFonts w:ascii="Century Schoolbook" w:hAnsi="Century Schoolbook"/>
          <w:kern w:val="0"/>
          <w:sz w:val="22"/>
          <w:szCs w:val="22"/>
        </w:rPr>
        <w:t>) metaphases as a percentage of the number of metaphase cells.  For MLA, the test protocol should include the conduct of tests with and without metabolic activation, with appropriate positive and negative controls, where the treatment with the test article is for 3 to 4 hours.  A continuous treatment without metabolic activation for approximately 24 hours should be conducted in case of a negative or equivocal result for both short treatments, with and without metabolic activation.  A standard MLA should include (</w:t>
      </w:r>
      <w:proofErr w:type="spellStart"/>
      <w:r w:rsidRPr="00C9399A">
        <w:rPr>
          <w:rFonts w:ascii="Century Schoolbook" w:hAnsi="Century Schoolbook"/>
          <w:kern w:val="0"/>
          <w:sz w:val="22"/>
          <w:szCs w:val="22"/>
        </w:rPr>
        <w:t>i</w:t>
      </w:r>
      <w:proofErr w:type="spellEnd"/>
      <w:r w:rsidRPr="00C9399A">
        <w:rPr>
          <w:rFonts w:ascii="Century Schoolbook" w:hAnsi="Century Schoolbook"/>
          <w:kern w:val="0"/>
          <w:sz w:val="22"/>
          <w:szCs w:val="22"/>
        </w:rPr>
        <w:t>) the incorporation of positive controls that induce mainly small colonies, and (ii) colony sizing for positive controls, solvent controls and at least one positive test compound concentration (should any exist), including the culture that gave the greatest mutant frequency.</w:t>
      </w:r>
    </w:p>
    <w:p w:rsidR="001D26BE" w:rsidRPr="00C9399A" w:rsidRDefault="001D26BE" w:rsidP="004A62F4">
      <w:pPr>
        <w:autoSpaceDE w:val="0"/>
        <w:autoSpaceDN w:val="0"/>
        <w:adjustRightInd w:val="0"/>
        <w:spacing w:after="120"/>
        <w:textAlignment w:val="bottom"/>
        <w:rPr>
          <w:rFonts w:ascii="Century Schoolbook" w:hAnsi="Century Schoolbook"/>
          <w:kern w:val="0"/>
          <w:sz w:val="22"/>
          <w:szCs w:val="22"/>
        </w:rPr>
      </w:pPr>
      <w:r w:rsidRPr="00C9399A">
        <w:rPr>
          <w:rFonts w:ascii="Century Schoolbook" w:hAnsi="Century Schoolbook"/>
          <w:kern w:val="0"/>
          <w:sz w:val="22"/>
          <w:szCs w:val="22"/>
        </w:rPr>
        <w:t xml:space="preserve">For mammalian cell assays </w:t>
      </w:r>
      <w:r w:rsidRPr="00C9399A">
        <w:rPr>
          <w:rFonts w:ascii="Century Schoolbook" w:hAnsi="Century Schoolbook"/>
          <w:i/>
          <w:kern w:val="0"/>
          <w:sz w:val="22"/>
          <w:szCs w:val="22"/>
        </w:rPr>
        <w:t>in vitro</w:t>
      </w:r>
      <w:r w:rsidRPr="00C9399A">
        <w:rPr>
          <w:rFonts w:ascii="Century Schoolbook" w:hAnsi="Century Schoolbook"/>
          <w:kern w:val="0"/>
          <w:sz w:val="22"/>
          <w:szCs w:val="22"/>
        </w:rPr>
        <w:t>, built-in confirmatory elements, such as those outlined above (e.g., different treatment lengths, tests with and without metabolic activation), should be used.  Following such testing, further confirmatory testing in the case of clearly negative or positive test results is not usually warranted.  Equivocal or weak positive results might call for repeating tests, possibly with a modified protocol such as appropriate spacing of the test concentrations.</w:t>
      </w:r>
    </w:p>
    <w:p w:rsidR="001D26BE" w:rsidRPr="008B2ED1" w:rsidRDefault="001D26BE" w:rsidP="008B2ED1">
      <w:pPr>
        <w:pStyle w:val="Heading3"/>
        <w:numPr>
          <w:ilvl w:val="2"/>
          <w:numId w:val="36"/>
        </w:numPr>
        <w:spacing w:before="120"/>
        <w:rPr>
          <w:rFonts w:ascii="Century Schoolbook" w:hAnsi="Century Schoolbook"/>
          <w:i/>
          <w:kern w:val="0"/>
          <w:sz w:val="22"/>
          <w:szCs w:val="22"/>
        </w:rPr>
      </w:pPr>
      <w:bookmarkStart w:id="50" w:name="_Toc309742188"/>
      <w:bookmarkStart w:id="51" w:name="_Toc309835286"/>
      <w:r w:rsidRPr="008B2ED1">
        <w:rPr>
          <w:rFonts w:ascii="Century Schoolbook" w:hAnsi="Century Schoolbook"/>
          <w:i/>
          <w:kern w:val="0"/>
          <w:sz w:val="22"/>
          <w:szCs w:val="22"/>
        </w:rPr>
        <w:t xml:space="preserve">Positive </w:t>
      </w:r>
      <w:r w:rsidR="001303EB" w:rsidRPr="008B2ED1">
        <w:rPr>
          <w:rFonts w:ascii="Century Schoolbook" w:hAnsi="Century Schoolbook"/>
          <w:i/>
          <w:kern w:val="0"/>
          <w:sz w:val="22"/>
          <w:szCs w:val="22"/>
        </w:rPr>
        <w:t>Controls</w:t>
      </w:r>
      <w:bookmarkEnd w:id="50"/>
      <w:bookmarkEnd w:id="51"/>
    </w:p>
    <w:p w:rsidR="001D26BE" w:rsidRPr="00C9399A" w:rsidRDefault="001D26BE" w:rsidP="004A62F4">
      <w:pPr>
        <w:autoSpaceDE w:val="0"/>
        <w:autoSpaceDN w:val="0"/>
        <w:adjustRightInd w:val="0"/>
        <w:spacing w:after="120"/>
        <w:textAlignment w:val="bottom"/>
        <w:rPr>
          <w:rFonts w:ascii="Century Schoolbook" w:hAnsi="Century Schoolbook"/>
          <w:kern w:val="0"/>
          <w:sz w:val="22"/>
          <w:szCs w:val="22"/>
        </w:rPr>
      </w:pPr>
      <w:r w:rsidRPr="00C9399A">
        <w:rPr>
          <w:rFonts w:ascii="Century Schoolbook" w:hAnsi="Century Schoolbook"/>
          <w:kern w:val="0"/>
          <w:sz w:val="22"/>
          <w:szCs w:val="22"/>
        </w:rPr>
        <w:t xml:space="preserve">Concurrent positive controls are important, but </w:t>
      </w:r>
      <w:r w:rsidRPr="00C9399A">
        <w:rPr>
          <w:rFonts w:ascii="Century Schoolbook" w:hAnsi="Century Schoolbook"/>
          <w:i/>
          <w:kern w:val="0"/>
          <w:sz w:val="22"/>
          <w:szCs w:val="22"/>
        </w:rPr>
        <w:t>in vitro</w:t>
      </w:r>
      <w:r w:rsidRPr="00C9399A">
        <w:rPr>
          <w:rFonts w:ascii="Century Schoolbook" w:hAnsi="Century Schoolbook"/>
          <w:kern w:val="0"/>
          <w:sz w:val="22"/>
          <w:szCs w:val="22"/>
        </w:rPr>
        <w:t xml:space="preserve"> mammalian cell tests for genetic toxicity are sufficiently standardized that use of positive controls can generally be confined to a positive control with metabolic activation (when it is done concurrently with the non-activated test) to demonstrate the activity of the metabolic activation system and the responsiveness of the test system.</w:t>
      </w:r>
    </w:p>
    <w:p w:rsidR="001D26BE" w:rsidRPr="0078046D" w:rsidRDefault="000B3C1E" w:rsidP="00AA186A">
      <w:pPr>
        <w:pStyle w:val="Heading1"/>
        <w:numPr>
          <w:ilvl w:val="0"/>
          <w:numId w:val="36"/>
        </w:numPr>
        <w:rPr>
          <w:rFonts w:ascii="Century Schoolbook" w:hAnsi="Century Schoolbook"/>
          <w:smallCaps/>
          <w:kern w:val="0"/>
          <w:sz w:val="22"/>
          <w:szCs w:val="22"/>
        </w:rPr>
      </w:pPr>
      <w:bookmarkStart w:id="52" w:name="_Toc309742189"/>
      <w:bookmarkStart w:id="53" w:name="_Toc309835287"/>
      <w:r w:rsidRPr="0078046D">
        <w:rPr>
          <w:rFonts w:ascii="Century Schoolbook" w:hAnsi="Century Schoolbook"/>
          <w:smallCaps/>
          <w:kern w:val="0"/>
          <w:sz w:val="22"/>
          <w:szCs w:val="22"/>
        </w:rPr>
        <w:t>Recommendations For</w:t>
      </w:r>
      <w:r w:rsidR="004A62F4" w:rsidRPr="0078046D">
        <w:rPr>
          <w:rFonts w:ascii="Century Schoolbook" w:hAnsi="Century Schoolbook"/>
          <w:smallCaps/>
          <w:kern w:val="0"/>
          <w:sz w:val="22"/>
          <w:szCs w:val="22"/>
        </w:rPr>
        <w:t xml:space="preserve"> </w:t>
      </w:r>
      <w:r w:rsidR="00311037">
        <w:rPr>
          <w:rFonts w:ascii="Century Schoolbook" w:hAnsi="Century Schoolbook"/>
          <w:i/>
          <w:smallCaps/>
          <w:kern w:val="0"/>
          <w:sz w:val="22"/>
          <w:szCs w:val="22"/>
        </w:rPr>
        <w:t>I</w:t>
      </w:r>
      <w:r w:rsidR="004A62F4" w:rsidRPr="00311037">
        <w:rPr>
          <w:rFonts w:ascii="Century Schoolbook" w:hAnsi="Century Schoolbook"/>
          <w:i/>
          <w:smallCaps/>
          <w:kern w:val="0"/>
          <w:sz w:val="22"/>
          <w:szCs w:val="22"/>
        </w:rPr>
        <w:t xml:space="preserve">n </w:t>
      </w:r>
      <w:r w:rsidR="00311037">
        <w:rPr>
          <w:rFonts w:ascii="Century Schoolbook" w:hAnsi="Century Schoolbook"/>
          <w:i/>
          <w:smallCaps/>
          <w:kern w:val="0"/>
          <w:sz w:val="22"/>
          <w:szCs w:val="22"/>
        </w:rPr>
        <w:t>V</w:t>
      </w:r>
      <w:r w:rsidR="004A62F4" w:rsidRPr="00311037">
        <w:rPr>
          <w:rFonts w:ascii="Century Schoolbook" w:hAnsi="Century Schoolbook"/>
          <w:i/>
          <w:smallCaps/>
          <w:kern w:val="0"/>
          <w:sz w:val="22"/>
          <w:szCs w:val="22"/>
        </w:rPr>
        <w:t>ivo</w:t>
      </w:r>
      <w:r w:rsidR="004A62F4" w:rsidRPr="00E14EE9">
        <w:rPr>
          <w:rFonts w:ascii="Century Schoolbook" w:hAnsi="Century Schoolbook"/>
          <w:i/>
          <w:smallCaps/>
          <w:kern w:val="0"/>
          <w:sz w:val="22"/>
          <w:szCs w:val="22"/>
        </w:rPr>
        <w:t xml:space="preserve"> </w:t>
      </w:r>
      <w:r w:rsidRPr="0078046D">
        <w:rPr>
          <w:rFonts w:ascii="Century Schoolbook" w:hAnsi="Century Schoolbook"/>
          <w:smallCaps/>
          <w:kern w:val="0"/>
          <w:sz w:val="22"/>
          <w:szCs w:val="22"/>
        </w:rPr>
        <w:t>Tests</w:t>
      </w:r>
      <w:bookmarkEnd w:id="52"/>
      <w:bookmarkEnd w:id="53"/>
    </w:p>
    <w:p w:rsidR="001D26BE" w:rsidRPr="0078046D" w:rsidRDefault="001D26BE" w:rsidP="00AA186A">
      <w:pPr>
        <w:pStyle w:val="Heading2"/>
        <w:numPr>
          <w:ilvl w:val="1"/>
          <w:numId w:val="36"/>
        </w:numPr>
        <w:spacing w:before="180" w:after="120"/>
        <w:ind w:left="720" w:hanging="720"/>
        <w:rPr>
          <w:rFonts w:ascii="Century Schoolbook" w:hAnsi="Century Schoolbook"/>
          <w:i w:val="0"/>
          <w:iCs w:val="0"/>
          <w:kern w:val="0"/>
          <w:sz w:val="22"/>
          <w:szCs w:val="22"/>
        </w:rPr>
      </w:pPr>
      <w:bookmarkStart w:id="54" w:name="_Toc309742190"/>
      <w:bookmarkStart w:id="55" w:name="_Toc309835288"/>
      <w:r w:rsidRPr="0078046D">
        <w:rPr>
          <w:rFonts w:ascii="Century Schoolbook" w:hAnsi="Century Schoolbook"/>
          <w:i w:val="0"/>
          <w:kern w:val="0"/>
          <w:sz w:val="22"/>
          <w:szCs w:val="22"/>
        </w:rPr>
        <w:t xml:space="preserve">Tests </w:t>
      </w:r>
      <w:r w:rsidR="001303EB" w:rsidRPr="0078046D">
        <w:rPr>
          <w:rFonts w:ascii="Century Schoolbook" w:hAnsi="Century Schoolbook"/>
          <w:i w:val="0"/>
          <w:kern w:val="0"/>
          <w:sz w:val="22"/>
          <w:szCs w:val="22"/>
        </w:rPr>
        <w:t xml:space="preserve">for the Detection of Chromosome Damage </w:t>
      </w:r>
      <w:proofErr w:type="gramStart"/>
      <w:r w:rsidR="001D2B20" w:rsidRPr="001D2B20">
        <w:rPr>
          <w:rFonts w:ascii="Century Schoolbook" w:hAnsi="Century Schoolbook"/>
          <w:iCs w:val="0"/>
          <w:kern w:val="0"/>
          <w:sz w:val="22"/>
          <w:szCs w:val="22"/>
        </w:rPr>
        <w:t>In</w:t>
      </w:r>
      <w:proofErr w:type="gramEnd"/>
      <w:r w:rsidR="001D2B20" w:rsidRPr="001D2B20">
        <w:rPr>
          <w:rFonts w:ascii="Century Schoolbook" w:hAnsi="Century Schoolbook"/>
          <w:iCs w:val="0"/>
          <w:kern w:val="0"/>
          <w:sz w:val="22"/>
          <w:szCs w:val="22"/>
        </w:rPr>
        <w:t xml:space="preserve"> Vivo</w:t>
      </w:r>
      <w:bookmarkEnd w:id="54"/>
      <w:bookmarkEnd w:id="55"/>
    </w:p>
    <w:p w:rsidR="001D26BE" w:rsidRPr="00C9399A" w:rsidRDefault="001D26BE" w:rsidP="004A62F4">
      <w:pPr>
        <w:autoSpaceDE w:val="0"/>
        <w:autoSpaceDN w:val="0"/>
        <w:adjustRightInd w:val="0"/>
        <w:spacing w:after="120"/>
        <w:textAlignment w:val="bottom"/>
        <w:rPr>
          <w:rFonts w:ascii="Century Schoolbook" w:hAnsi="Century Schoolbook"/>
          <w:kern w:val="0"/>
          <w:sz w:val="22"/>
          <w:szCs w:val="22"/>
        </w:rPr>
      </w:pPr>
      <w:r w:rsidRPr="00C9399A">
        <w:rPr>
          <w:rFonts w:ascii="Century Schoolbook" w:hAnsi="Century Schoolbook"/>
          <w:kern w:val="0"/>
          <w:sz w:val="22"/>
          <w:szCs w:val="22"/>
        </w:rPr>
        <w:t xml:space="preserve">Either the analysis of chromosomal aberrations or the measurement of </w:t>
      </w:r>
      <w:proofErr w:type="spellStart"/>
      <w:r w:rsidRPr="00C9399A">
        <w:rPr>
          <w:rFonts w:ascii="Century Schoolbook" w:hAnsi="Century Schoolbook"/>
          <w:kern w:val="0"/>
          <w:sz w:val="22"/>
          <w:szCs w:val="22"/>
        </w:rPr>
        <w:t>micronucleated</w:t>
      </w:r>
      <w:proofErr w:type="spellEnd"/>
      <w:r w:rsidRPr="00C9399A">
        <w:rPr>
          <w:rFonts w:ascii="Century Schoolbook" w:hAnsi="Century Schoolbook"/>
          <w:kern w:val="0"/>
          <w:sz w:val="22"/>
          <w:szCs w:val="22"/>
        </w:rPr>
        <w:t xml:space="preserve"> polychromatic erythrocytes in bone marrow cells </w:t>
      </w:r>
      <w:r w:rsidRPr="00C9399A">
        <w:rPr>
          <w:rFonts w:ascii="Century Schoolbook" w:hAnsi="Century Schoolbook"/>
          <w:i/>
          <w:iCs/>
          <w:kern w:val="0"/>
          <w:sz w:val="22"/>
          <w:szCs w:val="22"/>
        </w:rPr>
        <w:t xml:space="preserve">in vivo </w:t>
      </w:r>
      <w:r w:rsidRPr="00C9399A">
        <w:rPr>
          <w:rFonts w:ascii="Century Schoolbook" w:hAnsi="Century Schoolbook"/>
          <w:kern w:val="0"/>
          <w:sz w:val="22"/>
          <w:szCs w:val="22"/>
        </w:rPr>
        <w:t xml:space="preserve">is considered appropriate for the detection of </w:t>
      </w:r>
      <w:proofErr w:type="spellStart"/>
      <w:r w:rsidRPr="00C9399A">
        <w:rPr>
          <w:rFonts w:ascii="Century Schoolbook" w:hAnsi="Century Schoolbook"/>
          <w:kern w:val="0"/>
          <w:sz w:val="22"/>
          <w:szCs w:val="22"/>
        </w:rPr>
        <w:t>clastogens</w:t>
      </w:r>
      <w:proofErr w:type="spellEnd"/>
      <w:r w:rsidRPr="00C9399A">
        <w:rPr>
          <w:rFonts w:ascii="Century Schoolbook" w:hAnsi="Century Schoolbook"/>
          <w:kern w:val="0"/>
          <w:sz w:val="22"/>
          <w:szCs w:val="22"/>
        </w:rPr>
        <w:t xml:space="preserve">.  Both rats and mice are considered appropriate for use in the bone marrow micronucleus test.  Micronuclei can also be measured in immature (e.g., polychromatic) erythrocytes in peripheral blood in the mouse, or in the newly formed </w:t>
      </w:r>
      <w:proofErr w:type="spellStart"/>
      <w:r w:rsidRPr="00C9399A">
        <w:rPr>
          <w:rFonts w:ascii="Century Schoolbook" w:hAnsi="Century Schoolbook"/>
          <w:kern w:val="0"/>
          <w:sz w:val="22"/>
          <w:szCs w:val="22"/>
        </w:rPr>
        <w:t>reticulocytes</w:t>
      </w:r>
      <w:proofErr w:type="spellEnd"/>
      <w:r w:rsidRPr="00C9399A">
        <w:rPr>
          <w:rFonts w:ascii="Century Schoolbook" w:hAnsi="Century Schoolbook"/>
          <w:kern w:val="0"/>
          <w:sz w:val="22"/>
          <w:szCs w:val="22"/>
        </w:rPr>
        <w:t xml:space="preserve"> in rat blood (</w:t>
      </w:r>
      <w:r w:rsidR="00DB33C4">
        <w:rPr>
          <w:rFonts w:ascii="Century Schoolbook" w:hAnsi="Century Schoolbook"/>
          <w:kern w:val="0"/>
          <w:sz w:val="22"/>
          <w:szCs w:val="22"/>
        </w:rPr>
        <w:t>Note</w:t>
      </w:r>
      <w:r w:rsidRPr="00C9399A">
        <w:rPr>
          <w:rFonts w:ascii="Century Schoolbook" w:hAnsi="Century Schoolbook"/>
          <w:kern w:val="0"/>
          <w:sz w:val="22"/>
          <w:szCs w:val="22"/>
        </w:rPr>
        <w:t xml:space="preserve"> 3).  Likewise, immature erythrocytes can be used from any other species which has shown an adequate sensitivity to detect </w:t>
      </w:r>
      <w:proofErr w:type="spellStart"/>
      <w:r w:rsidRPr="00C9399A">
        <w:rPr>
          <w:rFonts w:ascii="Century Schoolbook" w:hAnsi="Century Schoolbook"/>
          <w:kern w:val="0"/>
          <w:sz w:val="22"/>
          <w:szCs w:val="22"/>
        </w:rPr>
        <w:t>clastogens</w:t>
      </w:r>
      <w:proofErr w:type="spellEnd"/>
      <w:r w:rsidRPr="00C9399A">
        <w:rPr>
          <w:rFonts w:ascii="Century Schoolbook" w:hAnsi="Century Schoolbook"/>
          <w:kern w:val="0"/>
          <w:sz w:val="22"/>
          <w:szCs w:val="22"/>
        </w:rPr>
        <w:t>/</w:t>
      </w:r>
      <w:proofErr w:type="spellStart"/>
      <w:r w:rsidRPr="00C9399A">
        <w:rPr>
          <w:rFonts w:ascii="Century Schoolbook" w:hAnsi="Century Schoolbook"/>
          <w:kern w:val="0"/>
          <w:sz w:val="22"/>
          <w:szCs w:val="22"/>
        </w:rPr>
        <w:t>aneuploidy</w:t>
      </w:r>
      <w:proofErr w:type="spellEnd"/>
      <w:r w:rsidRPr="00C9399A">
        <w:rPr>
          <w:rFonts w:ascii="Century Schoolbook" w:hAnsi="Century Schoolbook"/>
          <w:kern w:val="0"/>
          <w:sz w:val="22"/>
          <w:szCs w:val="22"/>
        </w:rPr>
        <w:t xml:space="preserve"> inducers in bone marrow or peripheral blood (</w:t>
      </w:r>
      <w:r w:rsidR="00DB33C4">
        <w:rPr>
          <w:rFonts w:ascii="Century Schoolbook" w:hAnsi="Century Schoolbook"/>
          <w:kern w:val="0"/>
          <w:sz w:val="22"/>
          <w:szCs w:val="22"/>
        </w:rPr>
        <w:t>Note</w:t>
      </w:r>
      <w:r w:rsidRPr="00C9399A">
        <w:rPr>
          <w:rFonts w:ascii="Century Schoolbook" w:hAnsi="Century Schoolbook"/>
          <w:kern w:val="0"/>
          <w:sz w:val="22"/>
          <w:szCs w:val="22"/>
        </w:rPr>
        <w:t xml:space="preserve"> 3).  Systems for automated analysis (image analysis and flow </w:t>
      </w:r>
      <w:proofErr w:type="spellStart"/>
      <w:r w:rsidRPr="00C9399A">
        <w:rPr>
          <w:rFonts w:ascii="Century Schoolbook" w:hAnsi="Century Schoolbook"/>
          <w:kern w:val="0"/>
          <w:sz w:val="22"/>
          <w:szCs w:val="22"/>
        </w:rPr>
        <w:t>cytometry</w:t>
      </w:r>
      <w:proofErr w:type="spellEnd"/>
      <w:r w:rsidRPr="00C9399A">
        <w:rPr>
          <w:rFonts w:ascii="Century Schoolbook" w:hAnsi="Century Schoolbook"/>
          <w:kern w:val="0"/>
          <w:sz w:val="22"/>
          <w:szCs w:val="22"/>
        </w:rPr>
        <w:t>) can be used if appropriately validated (OECD, 1997; Hayashi et al., 2000; 2007).  Chromosomal aberrations can also be analyzed in peripheral lymphocytes cultured from treated rodents (</w:t>
      </w:r>
      <w:r w:rsidR="00DB33C4">
        <w:rPr>
          <w:rFonts w:ascii="Century Schoolbook" w:hAnsi="Century Schoolbook"/>
          <w:kern w:val="0"/>
          <w:sz w:val="22"/>
          <w:szCs w:val="22"/>
        </w:rPr>
        <w:t>Note</w:t>
      </w:r>
      <w:r w:rsidRPr="00C9399A">
        <w:rPr>
          <w:rFonts w:ascii="Century Schoolbook" w:hAnsi="Century Schoolbook"/>
          <w:kern w:val="0"/>
          <w:sz w:val="22"/>
          <w:szCs w:val="22"/>
        </w:rPr>
        <w:t xml:space="preserve"> 11).</w:t>
      </w:r>
    </w:p>
    <w:p w:rsidR="001D26BE" w:rsidRPr="0078046D" w:rsidRDefault="001D26BE" w:rsidP="00AA186A">
      <w:pPr>
        <w:pStyle w:val="Heading2"/>
        <w:numPr>
          <w:ilvl w:val="1"/>
          <w:numId w:val="36"/>
        </w:numPr>
        <w:spacing w:before="180" w:after="120"/>
        <w:ind w:left="720" w:hanging="720"/>
        <w:rPr>
          <w:rFonts w:ascii="Century Schoolbook" w:hAnsi="Century Schoolbook"/>
          <w:i w:val="0"/>
          <w:kern w:val="0"/>
          <w:sz w:val="22"/>
          <w:szCs w:val="22"/>
        </w:rPr>
      </w:pPr>
      <w:bookmarkStart w:id="56" w:name="_Toc309742191"/>
      <w:bookmarkStart w:id="57" w:name="_Toc309835289"/>
      <w:r w:rsidRPr="0078046D">
        <w:rPr>
          <w:rFonts w:ascii="Century Schoolbook" w:hAnsi="Century Schoolbook"/>
          <w:i w:val="0"/>
          <w:kern w:val="0"/>
          <w:sz w:val="22"/>
          <w:szCs w:val="22"/>
        </w:rPr>
        <w:t xml:space="preserve">Other </w:t>
      </w:r>
      <w:proofErr w:type="gramStart"/>
      <w:r w:rsidR="001D2B20" w:rsidRPr="001D2B20">
        <w:rPr>
          <w:rFonts w:ascii="Century Schoolbook" w:hAnsi="Century Schoolbook"/>
          <w:kern w:val="0"/>
          <w:sz w:val="22"/>
          <w:szCs w:val="22"/>
        </w:rPr>
        <w:t>In</w:t>
      </w:r>
      <w:proofErr w:type="gramEnd"/>
      <w:r w:rsidR="001D2B20" w:rsidRPr="001D2B20">
        <w:rPr>
          <w:rFonts w:ascii="Century Schoolbook" w:hAnsi="Century Schoolbook"/>
          <w:kern w:val="0"/>
          <w:sz w:val="22"/>
          <w:szCs w:val="22"/>
        </w:rPr>
        <w:t xml:space="preserve"> Vivo</w:t>
      </w:r>
      <w:r w:rsidR="001303EB" w:rsidRPr="0078046D">
        <w:rPr>
          <w:rFonts w:ascii="Century Schoolbook" w:hAnsi="Century Schoolbook"/>
          <w:i w:val="0"/>
          <w:kern w:val="0"/>
          <w:sz w:val="22"/>
          <w:szCs w:val="22"/>
        </w:rPr>
        <w:t xml:space="preserve"> </w:t>
      </w:r>
      <w:proofErr w:type="spellStart"/>
      <w:r w:rsidR="001303EB" w:rsidRPr="0078046D">
        <w:rPr>
          <w:rFonts w:ascii="Century Schoolbook" w:hAnsi="Century Schoolbook"/>
          <w:i w:val="0"/>
          <w:kern w:val="0"/>
          <w:sz w:val="22"/>
          <w:szCs w:val="22"/>
        </w:rPr>
        <w:t>Genotoxicity</w:t>
      </w:r>
      <w:proofErr w:type="spellEnd"/>
      <w:r w:rsidR="001303EB" w:rsidRPr="0078046D">
        <w:rPr>
          <w:rFonts w:ascii="Century Schoolbook" w:hAnsi="Century Schoolbook"/>
          <w:i w:val="0"/>
          <w:kern w:val="0"/>
          <w:sz w:val="22"/>
          <w:szCs w:val="22"/>
        </w:rPr>
        <w:t xml:space="preserve"> Tests</w:t>
      </w:r>
      <w:bookmarkEnd w:id="56"/>
      <w:bookmarkEnd w:id="57"/>
    </w:p>
    <w:p w:rsidR="001D26BE" w:rsidRPr="00C9399A" w:rsidRDefault="001D26BE" w:rsidP="004A62F4">
      <w:pPr>
        <w:autoSpaceDE w:val="0"/>
        <w:autoSpaceDN w:val="0"/>
        <w:adjustRightInd w:val="0"/>
        <w:spacing w:after="120"/>
        <w:textAlignment w:val="bottom"/>
        <w:rPr>
          <w:rFonts w:ascii="Century Schoolbook" w:hAnsi="Century Schoolbook"/>
          <w:kern w:val="0"/>
          <w:sz w:val="22"/>
          <w:szCs w:val="22"/>
        </w:rPr>
      </w:pPr>
      <w:r w:rsidRPr="00C9399A">
        <w:rPr>
          <w:rFonts w:ascii="Century Schoolbook" w:hAnsi="Century Schoolbook"/>
          <w:kern w:val="0"/>
          <w:sz w:val="22"/>
          <w:szCs w:val="22"/>
        </w:rPr>
        <w:t xml:space="preserve">The same </w:t>
      </w:r>
      <w:r w:rsidRPr="00C9399A">
        <w:rPr>
          <w:rFonts w:ascii="Century Schoolbook" w:hAnsi="Century Schoolbook"/>
          <w:i/>
          <w:kern w:val="0"/>
          <w:sz w:val="22"/>
          <w:szCs w:val="22"/>
        </w:rPr>
        <w:t>in vivo</w:t>
      </w:r>
      <w:r w:rsidRPr="00C9399A">
        <w:rPr>
          <w:rFonts w:ascii="Century Schoolbook" w:hAnsi="Century Schoolbook"/>
          <w:kern w:val="0"/>
          <w:sz w:val="22"/>
          <w:szCs w:val="22"/>
        </w:rPr>
        <w:t xml:space="preserve"> tests described as the second test in the standard battery (</w:t>
      </w:r>
      <w:r w:rsidR="003C1715" w:rsidRPr="003C1715">
        <w:rPr>
          <w:rFonts w:ascii="Century Schoolbook" w:hAnsi="Century Schoolbook"/>
          <w:kern w:val="0"/>
          <w:sz w:val="22"/>
          <w:szCs w:val="22"/>
        </w:rPr>
        <w:t>Option</w:t>
      </w:r>
      <w:r w:rsidRPr="00C9399A">
        <w:rPr>
          <w:rFonts w:ascii="Century Schoolbook" w:hAnsi="Century Schoolbook"/>
          <w:kern w:val="0"/>
          <w:sz w:val="22"/>
          <w:szCs w:val="22"/>
        </w:rPr>
        <w:t xml:space="preserve"> 2) can be used as follow-up tests to develop weight of evidence in assessing results of </w:t>
      </w:r>
      <w:r w:rsidRPr="00C9399A">
        <w:rPr>
          <w:rFonts w:ascii="Century Schoolbook" w:hAnsi="Century Schoolbook"/>
          <w:i/>
          <w:kern w:val="0"/>
          <w:sz w:val="22"/>
          <w:szCs w:val="22"/>
        </w:rPr>
        <w:t>in vitro</w:t>
      </w:r>
      <w:r w:rsidRPr="00C9399A">
        <w:rPr>
          <w:rFonts w:ascii="Century Schoolbook" w:hAnsi="Century Schoolbook"/>
          <w:kern w:val="0"/>
          <w:sz w:val="22"/>
          <w:szCs w:val="22"/>
        </w:rPr>
        <w:t xml:space="preserve"> or </w:t>
      </w:r>
      <w:r w:rsidRPr="00C9399A">
        <w:rPr>
          <w:rFonts w:ascii="Century Schoolbook" w:hAnsi="Century Schoolbook"/>
          <w:i/>
          <w:kern w:val="0"/>
          <w:sz w:val="22"/>
          <w:szCs w:val="22"/>
        </w:rPr>
        <w:t>in vivo</w:t>
      </w:r>
      <w:r w:rsidRPr="00C9399A">
        <w:rPr>
          <w:rFonts w:ascii="Century Schoolbook" w:hAnsi="Century Schoolbook"/>
          <w:kern w:val="0"/>
          <w:sz w:val="22"/>
          <w:szCs w:val="22"/>
        </w:rPr>
        <w:t xml:space="preserve"> assays (</w:t>
      </w:r>
      <w:r w:rsidR="00DB33C4">
        <w:rPr>
          <w:rFonts w:ascii="Century Schoolbook" w:hAnsi="Century Schoolbook"/>
          <w:kern w:val="0"/>
          <w:sz w:val="22"/>
          <w:szCs w:val="22"/>
        </w:rPr>
        <w:t>Note</w:t>
      </w:r>
      <w:r w:rsidRPr="00C9399A">
        <w:rPr>
          <w:rFonts w:ascii="Century Schoolbook" w:hAnsi="Century Schoolbook"/>
          <w:kern w:val="0"/>
          <w:sz w:val="22"/>
          <w:szCs w:val="22"/>
        </w:rPr>
        <w:t xml:space="preserve">s 11 and 12).  While the type of effect seen </w:t>
      </w:r>
      <w:r w:rsidRPr="00C9399A">
        <w:rPr>
          <w:rFonts w:ascii="Century Schoolbook" w:hAnsi="Century Schoolbook"/>
          <w:i/>
          <w:kern w:val="0"/>
          <w:sz w:val="22"/>
          <w:szCs w:val="22"/>
        </w:rPr>
        <w:t>in vitro</w:t>
      </w:r>
      <w:r w:rsidRPr="00C9399A">
        <w:rPr>
          <w:rFonts w:ascii="Century Schoolbook" w:hAnsi="Century Schoolbook"/>
          <w:kern w:val="0"/>
          <w:sz w:val="22"/>
          <w:szCs w:val="22"/>
        </w:rPr>
        <w:t xml:space="preserve"> and any knowledge of the mechanism can help guide the choice of </w:t>
      </w:r>
      <w:r w:rsidRPr="00C9399A">
        <w:rPr>
          <w:rFonts w:ascii="Century Schoolbook" w:hAnsi="Century Schoolbook"/>
          <w:i/>
          <w:kern w:val="0"/>
          <w:sz w:val="22"/>
          <w:szCs w:val="22"/>
        </w:rPr>
        <w:t>in vivo</w:t>
      </w:r>
      <w:r w:rsidRPr="00C9399A">
        <w:rPr>
          <w:rFonts w:ascii="Century Schoolbook" w:hAnsi="Century Schoolbook"/>
          <w:kern w:val="0"/>
          <w:sz w:val="22"/>
          <w:szCs w:val="22"/>
        </w:rPr>
        <w:t xml:space="preserve"> assay, investigation of chromosomal aberrations or of gene mutations in endogenous genes is not feasible with standard methods in most tissues.  Although mutation can be measured in </w:t>
      </w:r>
      <w:proofErr w:type="spellStart"/>
      <w:r w:rsidRPr="00C9399A">
        <w:rPr>
          <w:rFonts w:ascii="Century Schoolbook" w:hAnsi="Century Schoolbook"/>
          <w:kern w:val="0"/>
          <w:sz w:val="22"/>
          <w:szCs w:val="22"/>
        </w:rPr>
        <w:t>transgenes</w:t>
      </w:r>
      <w:proofErr w:type="spellEnd"/>
      <w:r w:rsidRPr="00C9399A">
        <w:rPr>
          <w:rFonts w:ascii="Century Schoolbook" w:hAnsi="Century Schoolbook"/>
          <w:kern w:val="0"/>
          <w:sz w:val="22"/>
          <w:szCs w:val="22"/>
        </w:rPr>
        <w:t xml:space="preserve"> in rodents, this entails prolonged treatment (e.g., 28 days) to allow for mutation expression, fixation and accumulation, especially in tissues with little cell division (</w:t>
      </w:r>
      <w:r w:rsidR="00DB33C4">
        <w:rPr>
          <w:rFonts w:ascii="Century Schoolbook" w:hAnsi="Century Schoolbook"/>
          <w:kern w:val="0"/>
          <w:sz w:val="22"/>
          <w:szCs w:val="22"/>
        </w:rPr>
        <w:t>Note</w:t>
      </w:r>
      <w:r w:rsidRPr="00C9399A">
        <w:rPr>
          <w:rFonts w:ascii="Century Schoolbook" w:hAnsi="Century Schoolbook"/>
          <w:kern w:val="0"/>
          <w:sz w:val="22"/>
          <w:szCs w:val="22"/>
        </w:rPr>
        <w:t xml:space="preserve"> 12).  Thus the second </w:t>
      </w:r>
      <w:r w:rsidRPr="00C9399A">
        <w:rPr>
          <w:rFonts w:ascii="Century Schoolbook" w:hAnsi="Century Schoolbook"/>
          <w:i/>
          <w:kern w:val="0"/>
          <w:sz w:val="22"/>
          <w:szCs w:val="22"/>
        </w:rPr>
        <w:t>in vivo</w:t>
      </w:r>
      <w:r w:rsidRPr="00C9399A">
        <w:rPr>
          <w:rFonts w:ascii="Century Schoolbook" w:hAnsi="Century Schoolbook"/>
          <w:kern w:val="0"/>
          <w:sz w:val="22"/>
          <w:szCs w:val="22"/>
        </w:rPr>
        <w:t xml:space="preserve"> assay will often evaluate a DNA damage endpoint as a </w:t>
      </w:r>
      <w:r w:rsidRPr="00C9399A">
        <w:rPr>
          <w:rFonts w:ascii="Century Schoolbook" w:hAnsi="Century Schoolbook"/>
          <w:kern w:val="0"/>
          <w:sz w:val="22"/>
          <w:szCs w:val="22"/>
        </w:rPr>
        <w:lastRenderedPageBreak/>
        <w:t>surrogate.  Assays with the most published experience and advice on protocols include the DNA strand break assays such as the single cell gel electrophoresis (“Comet”) assay and alkaline elution assay, the i</w:t>
      </w:r>
      <w:r w:rsidRPr="00C9399A">
        <w:rPr>
          <w:rFonts w:ascii="Century Schoolbook" w:hAnsi="Century Schoolbook"/>
          <w:i/>
          <w:kern w:val="0"/>
          <w:sz w:val="22"/>
          <w:szCs w:val="22"/>
        </w:rPr>
        <w:t>n vivo</w:t>
      </w:r>
      <w:r w:rsidRPr="00C9399A">
        <w:rPr>
          <w:rFonts w:ascii="Century Schoolbook" w:hAnsi="Century Schoolbook"/>
          <w:kern w:val="0"/>
          <w:sz w:val="22"/>
          <w:szCs w:val="22"/>
        </w:rPr>
        <w:t xml:space="preserve"> transgenic mouse mutation assays and DNA covalent binding assays, (all of which may be applied in many tissues, </w:t>
      </w:r>
      <w:r w:rsidR="00DB33C4">
        <w:rPr>
          <w:rFonts w:ascii="Century Schoolbook" w:hAnsi="Century Schoolbook"/>
          <w:kern w:val="0"/>
          <w:sz w:val="22"/>
          <w:szCs w:val="22"/>
        </w:rPr>
        <w:t>Note</w:t>
      </w:r>
      <w:r w:rsidRPr="00C9399A">
        <w:rPr>
          <w:rFonts w:ascii="Century Schoolbook" w:hAnsi="Century Schoolbook"/>
          <w:kern w:val="0"/>
          <w:sz w:val="22"/>
          <w:szCs w:val="22"/>
        </w:rPr>
        <w:t xml:space="preserve"> 12), and the liver unscheduled DNA synthesis (UDS) assay.</w:t>
      </w:r>
    </w:p>
    <w:p w:rsidR="001D26BE" w:rsidRPr="0078046D" w:rsidRDefault="001D26BE" w:rsidP="00AA186A">
      <w:pPr>
        <w:pStyle w:val="Heading2"/>
        <w:numPr>
          <w:ilvl w:val="1"/>
          <w:numId w:val="36"/>
        </w:numPr>
        <w:spacing w:before="180" w:after="120"/>
        <w:ind w:left="720" w:hanging="720"/>
        <w:rPr>
          <w:rFonts w:ascii="Century Schoolbook" w:hAnsi="Century Schoolbook"/>
          <w:bCs w:val="0"/>
          <w:i w:val="0"/>
          <w:kern w:val="0"/>
          <w:sz w:val="22"/>
          <w:szCs w:val="22"/>
        </w:rPr>
      </w:pPr>
      <w:bookmarkStart w:id="58" w:name="_Toc309742192"/>
      <w:bookmarkStart w:id="59" w:name="_Toc309835290"/>
      <w:r w:rsidRPr="0078046D">
        <w:rPr>
          <w:rFonts w:ascii="Century Schoolbook" w:hAnsi="Century Schoolbook"/>
          <w:bCs w:val="0"/>
          <w:i w:val="0"/>
          <w:kern w:val="0"/>
          <w:sz w:val="22"/>
          <w:szCs w:val="22"/>
        </w:rPr>
        <w:t xml:space="preserve">Dose </w:t>
      </w:r>
      <w:r w:rsidR="001303EB" w:rsidRPr="0078046D">
        <w:rPr>
          <w:rFonts w:ascii="Century Schoolbook" w:hAnsi="Century Schoolbook"/>
          <w:bCs w:val="0"/>
          <w:i w:val="0"/>
          <w:kern w:val="0"/>
          <w:sz w:val="22"/>
          <w:szCs w:val="22"/>
        </w:rPr>
        <w:t xml:space="preserve">Selection for </w:t>
      </w:r>
      <w:r w:rsidR="001D2B20" w:rsidRPr="001D2B20">
        <w:rPr>
          <w:rFonts w:ascii="Century Schoolbook" w:hAnsi="Century Schoolbook"/>
          <w:bCs w:val="0"/>
          <w:kern w:val="0"/>
          <w:sz w:val="22"/>
          <w:szCs w:val="22"/>
        </w:rPr>
        <w:t>In Vivo</w:t>
      </w:r>
      <w:r w:rsidR="001303EB" w:rsidRPr="0078046D">
        <w:rPr>
          <w:rFonts w:ascii="Century Schoolbook" w:hAnsi="Century Schoolbook"/>
          <w:bCs w:val="0"/>
          <w:i w:val="0"/>
          <w:kern w:val="0"/>
          <w:sz w:val="22"/>
          <w:szCs w:val="22"/>
        </w:rPr>
        <w:t xml:space="preserve"> Assays</w:t>
      </w:r>
      <w:bookmarkEnd w:id="58"/>
      <w:bookmarkEnd w:id="59"/>
    </w:p>
    <w:p w:rsidR="001D26BE" w:rsidRPr="00C9399A" w:rsidRDefault="001D26BE" w:rsidP="004A62F4">
      <w:pPr>
        <w:autoSpaceDE w:val="0"/>
        <w:autoSpaceDN w:val="0"/>
        <w:adjustRightInd w:val="0"/>
        <w:spacing w:after="120"/>
        <w:textAlignment w:val="bottom"/>
        <w:rPr>
          <w:rFonts w:ascii="Century Schoolbook" w:hAnsi="Century Schoolbook"/>
          <w:b/>
          <w:bCs/>
          <w:kern w:val="0"/>
          <w:sz w:val="22"/>
          <w:szCs w:val="22"/>
        </w:rPr>
      </w:pPr>
      <w:r w:rsidRPr="00C9399A">
        <w:rPr>
          <w:rFonts w:ascii="Century Schoolbook" w:hAnsi="Century Schoolbook"/>
          <w:kern w:val="0"/>
          <w:sz w:val="22"/>
          <w:szCs w:val="22"/>
        </w:rPr>
        <w:t>Typically three dose levels are analyzed (Hayashi et al., 2005).</w:t>
      </w:r>
    </w:p>
    <w:p w:rsidR="001D26BE" w:rsidRPr="008B2ED1" w:rsidRDefault="001D26BE" w:rsidP="008B2ED1">
      <w:pPr>
        <w:pStyle w:val="Heading3"/>
        <w:numPr>
          <w:ilvl w:val="2"/>
          <w:numId w:val="36"/>
        </w:numPr>
        <w:spacing w:before="120"/>
        <w:rPr>
          <w:rFonts w:ascii="Century Schoolbook" w:hAnsi="Century Schoolbook"/>
          <w:bCs w:val="0"/>
          <w:i/>
          <w:kern w:val="0"/>
          <w:sz w:val="22"/>
          <w:szCs w:val="22"/>
        </w:rPr>
      </w:pPr>
      <w:bookmarkStart w:id="60" w:name="_Toc309742193"/>
      <w:bookmarkStart w:id="61" w:name="_Toc309835291"/>
      <w:r w:rsidRPr="008B2ED1">
        <w:rPr>
          <w:rFonts w:ascii="Century Schoolbook" w:hAnsi="Century Schoolbook"/>
          <w:bCs w:val="0"/>
          <w:i/>
          <w:kern w:val="0"/>
          <w:sz w:val="22"/>
          <w:szCs w:val="22"/>
        </w:rPr>
        <w:t>Short</w:t>
      </w:r>
      <w:r w:rsidR="001303EB" w:rsidRPr="008B2ED1">
        <w:rPr>
          <w:rFonts w:ascii="Century Schoolbook" w:hAnsi="Century Schoolbook"/>
          <w:bCs w:val="0"/>
          <w:i/>
          <w:kern w:val="0"/>
          <w:sz w:val="22"/>
          <w:szCs w:val="22"/>
        </w:rPr>
        <w:t>-Term Studies</w:t>
      </w:r>
      <w:bookmarkEnd w:id="60"/>
      <w:bookmarkEnd w:id="61"/>
    </w:p>
    <w:p w:rsidR="001D26BE" w:rsidRPr="00C9399A" w:rsidRDefault="001D26BE" w:rsidP="00E44012">
      <w:pPr>
        <w:autoSpaceDE w:val="0"/>
        <w:autoSpaceDN w:val="0"/>
        <w:adjustRightInd w:val="0"/>
        <w:spacing w:after="120"/>
        <w:textAlignment w:val="bottom"/>
        <w:rPr>
          <w:rFonts w:ascii="Century Schoolbook" w:hAnsi="Century Schoolbook"/>
          <w:kern w:val="0"/>
          <w:sz w:val="22"/>
          <w:szCs w:val="22"/>
        </w:rPr>
      </w:pPr>
      <w:r w:rsidRPr="00C9399A">
        <w:rPr>
          <w:rFonts w:ascii="Century Schoolbook" w:hAnsi="Century Schoolbook"/>
          <w:kern w:val="0"/>
          <w:sz w:val="22"/>
          <w:szCs w:val="22"/>
        </w:rPr>
        <w:t>For short</w:t>
      </w:r>
      <w:r w:rsidR="003C1715">
        <w:rPr>
          <w:rFonts w:ascii="Century Schoolbook" w:hAnsi="Century Schoolbook"/>
          <w:kern w:val="0"/>
          <w:sz w:val="22"/>
          <w:szCs w:val="22"/>
        </w:rPr>
        <w:t>-</w:t>
      </w:r>
      <w:r w:rsidRPr="00C9399A">
        <w:rPr>
          <w:rFonts w:ascii="Century Schoolbook" w:hAnsi="Century Schoolbook"/>
          <w:kern w:val="0"/>
          <w:sz w:val="22"/>
          <w:szCs w:val="22"/>
        </w:rPr>
        <w:t xml:space="preserve">term (usually 1 to 3 administrations) studies, the top dose recommended for </w:t>
      </w:r>
      <w:proofErr w:type="spellStart"/>
      <w:r w:rsidRPr="00C9399A">
        <w:rPr>
          <w:rFonts w:ascii="Century Schoolbook" w:hAnsi="Century Schoolbook"/>
          <w:kern w:val="0"/>
          <w:sz w:val="22"/>
          <w:szCs w:val="22"/>
        </w:rPr>
        <w:t>genotoxicity</w:t>
      </w:r>
      <w:proofErr w:type="spellEnd"/>
      <w:r w:rsidRPr="00C9399A">
        <w:rPr>
          <w:rFonts w:ascii="Century Schoolbook" w:hAnsi="Century Schoolbook"/>
          <w:kern w:val="0"/>
          <w:sz w:val="22"/>
          <w:szCs w:val="22"/>
        </w:rPr>
        <w:t xml:space="preserve"> assays is a limit dose of 2000 mg/kg, if this is tolerated, or a maximum tolerated dose defined (for example for the micronucleus assay (OECD)) as the dose producing signs of toxicity such that higher dose levels, based on the same dosing regimen, would be expected to produce lethality.  Similar recommendations have been made for the Comet assay (Hartmann et al., 2003) and transgenic mutation assay (Heddle et al., 2000).  Suppression of bone marrow red blood cell production should also be taken into account in dose selection.  Lower doses are generally spaced at approximately two to three fold intervals below this.  </w:t>
      </w:r>
    </w:p>
    <w:p w:rsidR="001D26BE" w:rsidRPr="008B2ED1" w:rsidRDefault="001D26BE" w:rsidP="008B2ED1">
      <w:pPr>
        <w:pStyle w:val="Heading3"/>
        <w:numPr>
          <w:ilvl w:val="2"/>
          <w:numId w:val="36"/>
        </w:numPr>
        <w:spacing w:before="120"/>
        <w:rPr>
          <w:rFonts w:ascii="Century Schoolbook" w:hAnsi="Century Schoolbook"/>
          <w:bCs w:val="0"/>
          <w:i/>
          <w:kern w:val="0"/>
          <w:sz w:val="22"/>
          <w:szCs w:val="22"/>
        </w:rPr>
      </w:pPr>
      <w:bookmarkStart w:id="62" w:name="_Toc309742194"/>
      <w:bookmarkStart w:id="63" w:name="_Toc309835292"/>
      <w:r w:rsidRPr="008B2ED1">
        <w:rPr>
          <w:rFonts w:ascii="Century Schoolbook" w:hAnsi="Century Schoolbook"/>
          <w:bCs w:val="0"/>
          <w:i/>
          <w:kern w:val="0"/>
          <w:sz w:val="22"/>
          <w:szCs w:val="22"/>
        </w:rPr>
        <w:t xml:space="preserve">Multiple </w:t>
      </w:r>
      <w:r w:rsidR="001303EB" w:rsidRPr="008B2ED1">
        <w:rPr>
          <w:rFonts w:ascii="Century Schoolbook" w:hAnsi="Century Schoolbook"/>
          <w:bCs w:val="0"/>
          <w:i/>
          <w:kern w:val="0"/>
          <w:sz w:val="22"/>
          <w:szCs w:val="22"/>
        </w:rPr>
        <w:t>Administration Studies</w:t>
      </w:r>
      <w:bookmarkEnd w:id="62"/>
      <w:bookmarkEnd w:id="63"/>
    </w:p>
    <w:p w:rsidR="008312F3" w:rsidRDefault="001D26BE" w:rsidP="008312F3">
      <w:pPr>
        <w:autoSpaceDE w:val="0"/>
        <w:autoSpaceDN w:val="0"/>
        <w:adjustRightInd w:val="0"/>
        <w:spacing w:before="120" w:after="60"/>
        <w:textAlignment w:val="bottom"/>
        <w:rPr>
          <w:rFonts w:ascii="Century Schoolbook" w:hAnsi="Century Schoolbook"/>
          <w:kern w:val="0"/>
          <w:sz w:val="22"/>
          <w:szCs w:val="22"/>
        </w:rPr>
      </w:pPr>
      <w:r w:rsidRPr="00C9399A">
        <w:rPr>
          <w:rFonts w:ascii="Century Schoolbook" w:hAnsi="Century Schoolbook"/>
          <w:kern w:val="0"/>
          <w:sz w:val="22"/>
          <w:szCs w:val="22"/>
          <w:u w:val="single"/>
        </w:rPr>
        <w:t>Option 1 Battery</w:t>
      </w:r>
    </w:p>
    <w:p w:rsidR="001D26BE" w:rsidRPr="00C9399A" w:rsidRDefault="001D26BE" w:rsidP="004A62F4">
      <w:pPr>
        <w:autoSpaceDE w:val="0"/>
        <w:autoSpaceDN w:val="0"/>
        <w:adjustRightInd w:val="0"/>
        <w:spacing w:after="120"/>
        <w:textAlignment w:val="bottom"/>
        <w:rPr>
          <w:rFonts w:ascii="Century Schoolbook" w:hAnsi="Century Schoolbook"/>
          <w:kern w:val="0"/>
          <w:sz w:val="22"/>
          <w:szCs w:val="22"/>
        </w:rPr>
      </w:pPr>
      <w:r w:rsidRPr="00C9399A">
        <w:rPr>
          <w:rFonts w:ascii="Century Schoolbook" w:hAnsi="Century Schoolbook"/>
          <w:kern w:val="0"/>
          <w:sz w:val="22"/>
          <w:szCs w:val="22"/>
        </w:rPr>
        <w:t xml:space="preserve">When the </w:t>
      </w:r>
      <w:r w:rsidRPr="00C9399A">
        <w:rPr>
          <w:rFonts w:ascii="Century Schoolbook" w:hAnsi="Century Schoolbook"/>
          <w:i/>
          <w:kern w:val="0"/>
          <w:sz w:val="22"/>
          <w:szCs w:val="22"/>
        </w:rPr>
        <w:t>in vivo</w:t>
      </w:r>
      <w:r w:rsidRPr="00C9399A">
        <w:rPr>
          <w:rFonts w:ascii="Century Schoolbook" w:hAnsi="Century Schoolbook"/>
          <w:kern w:val="0"/>
          <w:sz w:val="22"/>
          <w:szCs w:val="22"/>
        </w:rPr>
        <w:t xml:space="preserve"> </w:t>
      </w:r>
      <w:proofErr w:type="spellStart"/>
      <w:r w:rsidRPr="00C9399A">
        <w:rPr>
          <w:rFonts w:ascii="Century Schoolbook" w:hAnsi="Century Schoolbook"/>
          <w:kern w:val="0"/>
          <w:sz w:val="22"/>
          <w:szCs w:val="22"/>
        </w:rPr>
        <w:t>genotoxicity</w:t>
      </w:r>
      <w:proofErr w:type="spellEnd"/>
      <w:r w:rsidRPr="00C9399A">
        <w:rPr>
          <w:rFonts w:ascii="Century Schoolbook" w:hAnsi="Century Schoolbook"/>
          <w:kern w:val="0"/>
          <w:sz w:val="22"/>
          <w:szCs w:val="22"/>
        </w:rPr>
        <w:t xml:space="preserve"> test is integrated into a multiple administration toxicology study, the doses are generally considered appropriate when</w:t>
      </w:r>
      <w:r w:rsidRPr="00C9399A">
        <w:rPr>
          <w:rFonts w:ascii="Century Schoolbook" w:hAnsi="Century Schoolbook"/>
          <w:sz w:val="22"/>
          <w:szCs w:val="22"/>
        </w:rPr>
        <w:t xml:space="preserve"> the toxicology study meets the criteria for an adequate study to support human clinical trials; this can differ from dose selection criteria in the OECD guideline for the </w:t>
      </w:r>
      <w:r w:rsidRPr="00C9399A">
        <w:rPr>
          <w:rFonts w:ascii="Century Schoolbook" w:hAnsi="Century Schoolbook"/>
          <w:i/>
          <w:sz w:val="22"/>
          <w:szCs w:val="22"/>
        </w:rPr>
        <w:t>in vivo</w:t>
      </w:r>
      <w:r w:rsidRPr="00C9399A">
        <w:rPr>
          <w:rFonts w:ascii="Century Schoolbook" w:hAnsi="Century Schoolbook"/>
          <w:sz w:val="22"/>
          <w:szCs w:val="22"/>
        </w:rPr>
        <w:t xml:space="preserve"> micronucleus assay.  This applies </w:t>
      </w:r>
      <w:r w:rsidRPr="00C9399A">
        <w:rPr>
          <w:rFonts w:ascii="Century Schoolbook" w:hAnsi="Century Schoolbook"/>
          <w:kern w:val="0"/>
          <w:sz w:val="22"/>
          <w:szCs w:val="22"/>
        </w:rPr>
        <w:t xml:space="preserve">when the </w:t>
      </w:r>
      <w:r w:rsidRPr="00C9399A">
        <w:rPr>
          <w:rFonts w:ascii="Century Schoolbook" w:hAnsi="Century Schoolbook"/>
          <w:i/>
          <w:kern w:val="0"/>
          <w:sz w:val="22"/>
          <w:szCs w:val="22"/>
        </w:rPr>
        <w:t>in vitro</w:t>
      </w:r>
      <w:r w:rsidRPr="00C9399A">
        <w:rPr>
          <w:rFonts w:ascii="Century Schoolbook" w:hAnsi="Century Schoolbook"/>
          <w:kern w:val="0"/>
          <w:sz w:val="22"/>
          <w:szCs w:val="22"/>
        </w:rPr>
        <w:t xml:space="preserve"> mammalian cell test is negative (or “non-relevant positive”; see </w:t>
      </w:r>
      <w:r w:rsidR="00DB33C4">
        <w:rPr>
          <w:rFonts w:ascii="Century Schoolbook" w:hAnsi="Century Schoolbook"/>
          <w:kern w:val="0"/>
          <w:sz w:val="22"/>
          <w:szCs w:val="22"/>
        </w:rPr>
        <w:t>Section</w:t>
      </w:r>
      <w:r w:rsidRPr="00C9399A">
        <w:rPr>
          <w:rFonts w:ascii="Century Schoolbook" w:hAnsi="Century Schoolbook"/>
          <w:kern w:val="0"/>
          <w:sz w:val="22"/>
          <w:szCs w:val="22"/>
        </w:rPr>
        <w:t xml:space="preserve"> 5).  </w:t>
      </w:r>
    </w:p>
    <w:p w:rsidR="008312F3" w:rsidRDefault="001D26BE" w:rsidP="008312F3">
      <w:pPr>
        <w:autoSpaceDE w:val="0"/>
        <w:autoSpaceDN w:val="0"/>
        <w:adjustRightInd w:val="0"/>
        <w:spacing w:before="120" w:after="60"/>
        <w:textAlignment w:val="bottom"/>
        <w:rPr>
          <w:rFonts w:ascii="Century Schoolbook" w:hAnsi="Century Schoolbook"/>
          <w:kern w:val="0"/>
          <w:sz w:val="22"/>
          <w:szCs w:val="22"/>
          <w:u w:val="single"/>
        </w:rPr>
      </w:pPr>
      <w:r w:rsidRPr="00C9399A">
        <w:rPr>
          <w:rFonts w:ascii="Century Schoolbook" w:hAnsi="Century Schoolbook"/>
          <w:kern w:val="0"/>
          <w:sz w:val="22"/>
          <w:szCs w:val="22"/>
          <w:u w:val="single"/>
        </w:rPr>
        <w:t xml:space="preserve">Follow-up studies or Option 2 </w:t>
      </w:r>
      <w:r w:rsidR="008312F3">
        <w:rPr>
          <w:rFonts w:ascii="Century Schoolbook" w:hAnsi="Century Schoolbook"/>
          <w:kern w:val="0"/>
          <w:sz w:val="22"/>
          <w:szCs w:val="22"/>
          <w:u w:val="single"/>
        </w:rPr>
        <w:t>B</w:t>
      </w:r>
      <w:r w:rsidRPr="00C9399A">
        <w:rPr>
          <w:rFonts w:ascii="Century Schoolbook" w:hAnsi="Century Schoolbook"/>
          <w:kern w:val="0"/>
          <w:sz w:val="22"/>
          <w:szCs w:val="22"/>
          <w:u w:val="single"/>
        </w:rPr>
        <w:t>attery</w:t>
      </w:r>
    </w:p>
    <w:p w:rsidR="001D26BE" w:rsidRPr="00C9399A" w:rsidRDefault="001D26BE" w:rsidP="004A62F4">
      <w:pPr>
        <w:autoSpaceDE w:val="0"/>
        <w:autoSpaceDN w:val="0"/>
        <w:adjustRightInd w:val="0"/>
        <w:spacing w:after="120"/>
        <w:textAlignment w:val="bottom"/>
        <w:rPr>
          <w:rFonts w:ascii="Century Schoolbook" w:hAnsi="Century Schoolbook"/>
          <w:kern w:val="0"/>
          <w:sz w:val="22"/>
          <w:szCs w:val="22"/>
        </w:rPr>
      </w:pPr>
      <w:r w:rsidRPr="00C9399A">
        <w:rPr>
          <w:rFonts w:ascii="Century Schoolbook" w:hAnsi="Century Schoolbook"/>
          <w:kern w:val="0"/>
          <w:sz w:val="22"/>
          <w:szCs w:val="22"/>
        </w:rPr>
        <w:t xml:space="preserve">When carrying out follow-up studies to address any indication of </w:t>
      </w:r>
      <w:proofErr w:type="spellStart"/>
      <w:r w:rsidRPr="00C9399A">
        <w:rPr>
          <w:rFonts w:ascii="Century Schoolbook" w:hAnsi="Century Schoolbook"/>
          <w:kern w:val="0"/>
          <w:sz w:val="22"/>
          <w:szCs w:val="22"/>
        </w:rPr>
        <w:t>genotoxicity</w:t>
      </w:r>
      <w:proofErr w:type="spellEnd"/>
      <w:r w:rsidRPr="00C9399A">
        <w:rPr>
          <w:rFonts w:ascii="Century Schoolbook" w:hAnsi="Century Schoolbook"/>
          <w:kern w:val="0"/>
          <w:sz w:val="22"/>
          <w:szCs w:val="22"/>
        </w:rPr>
        <w:t xml:space="preserve">, or when using Option 2 with no </w:t>
      </w:r>
      <w:r w:rsidRPr="00C9399A">
        <w:rPr>
          <w:rFonts w:ascii="Century Schoolbook" w:hAnsi="Century Schoolbook"/>
          <w:i/>
          <w:kern w:val="0"/>
          <w:sz w:val="22"/>
          <w:szCs w:val="22"/>
        </w:rPr>
        <w:t>in vitro</w:t>
      </w:r>
      <w:r w:rsidRPr="00C9399A">
        <w:rPr>
          <w:rFonts w:ascii="Century Schoolbook" w:hAnsi="Century Schoolbook"/>
          <w:kern w:val="0"/>
          <w:sz w:val="22"/>
          <w:szCs w:val="22"/>
        </w:rPr>
        <w:t xml:space="preserve"> mammalian cell assay, several factors should be evaluated to determine whether the top dose is appropriate for </w:t>
      </w:r>
      <w:proofErr w:type="spellStart"/>
      <w:r w:rsidRPr="00C9399A">
        <w:rPr>
          <w:rFonts w:ascii="Century Schoolbook" w:hAnsi="Century Schoolbook"/>
          <w:kern w:val="0"/>
          <w:sz w:val="22"/>
          <w:szCs w:val="22"/>
        </w:rPr>
        <w:t>genotoxicity</w:t>
      </w:r>
      <w:proofErr w:type="spellEnd"/>
      <w:r w:rsidRPr="00C9399A">
        <w:rPr>
          <w:rFonts w:ascii="Century Schoolbook" w:hAnsi="Century Schoolbook"/>
          <w:kern w:val="0"/>
          <w:sz w:val="22"/>
          <w:szCs w:val="22"/>
        </w:rPr>
        <w:t xml:space="preserve"> evaluation. </w:t>
      </w:r>
      <w:r w:rsidR="002A5938">
        <w:rPr>
          <w:rFonts w:ascii="Century Schoolbook" w:hAnsi="Century Schoolbook"/>
          <w:kern w:val="0"/>
          <w:sz w:val="22"/>
          <w:szCs w:val="22"/>
        </w:rPr>
        <w:t xml:space="preserve"> </w:t>
      </w:r>
      <w:r w:rsidRPr="00C9399A">
        <w:rPr>
          <w:rFonts w:ascii="Century Schoolbook" w:hAnsi="Century Schoolbook"/>
          <w:kern w:val="0"/>
          <w:sz w:val="22"/>
          <w:szCs w:val="22"/>
        </w:rPr>
        <w:t xml:space="preserve">Any one of the criteria listed below is considered sufficient to demonstrate that the top dose in a toxicology study (typically in rats) is appropriate for micronucleus analysis and for other </w:t>
      </w:r>
      <w:proofErr w:type="spellStart"/>
      <w:r w:rsidRPr="00C9399A">
        <w:rPr>
          <w:rFonts w:ascii="Century Schoolbook" w:hAnsi="Century Schoolbook"/>
          <w:kern w:val="0"/>
          <w:sz w:val="22"/>
          <w:szCs w:val="22"/>
        </w:rPr>
        <w:t>genotoxicity</w:t>
      </w:r>
      <w:proofErr w:type="spellEnd"/>
      <w:r w:rsidRPr="00C9399A">
        <w:rPr>
          <w:rFonts w:ascii="Century Schoolbook" w:hAnsi="Century Schoolbook"/>
          <w:kern w:val="0"/>
          <w:sz w:val="22"/>
          <w:szCs w:val="22"/>
        </w:rPr>
        <w:t xml:space="preserve"> evaluation:</w:t>
      </w:r>
    </w:p>
    <w:p w:rsidR="001D26BE" w:rsidRPr="00C9399A" w:rsidRDefault="001D26BE" w:rsidP="004235DD">
      <w:pPr>
        <w:pStyle w:val="hs"/>
        <w:numPr>
          <w:ilvl w:val="0"/>
          <w:numId w:val="1"/>
        </w:numPr>
        <w:tabs>
          <w:tab w:val="clear" w:pos="426"/>
          <w:tab w:val="clear" w:pos="851"/>
          <w:tab w:val="clear" w:pos="1080"/>
          <w:tab w:val="num" w:pos="540"/>
        </w:tabs>
        <w:ind w:left="540"/>
        <w:rPr>
          <w:rFonts w:ascii="Century Schoolbook" w:hAnsi="Century Schoolbook"/>
          <w:b w:val="0"/>
          <w:color w:val="000000"/>
          <w:sz w:val="22"/>
          <w:szCs w:val="22"/>
          <w:lang w:eastAsia="ja-JP"/>
        </w:rPr>
      </w:pPr>
      <w:r w:rsidRPr="00C9399A">
        <w:rPr>
          <w:rFonts w:ascii="Century Schoolbook" w:hAnsi="Century Schoolbook"/>
          <w:b w:val="0"/>
          <w:color w:val="000000"/>
          <w:sz w:val="22"/>
          <w:szCs w:val="22"/>
          <w:lang w:eastAsia="ja-JP"/>
        </w:rPr>
        <w:t xml:space="preserve">Maximum </w:t>
      </w:r>
      <w:r w:rsidR="008312F3">
        <w:rPr>
          <w:rFonts w:ascii="Century Schoolbook" w:hAnsi="Century Schoolbook"/>
          <w:b w:val="0"/>
          <w:color w:val="000000"/>
          <w:sz w:val="22"/>
          <w:szCs w:val="22"/>
          <w:lang w:eastAsia="ja-JP"/>
        </w:rPr>
        <w:t>Feasible D</w:t>
      </w:r>
      <w:r w:rsidRPr="00C9399A">
        <w:rPr>
          <w:rFonts w:ascii="Century Schoolbook" w:hAnsi="Century Schoolbook"/>
          <w:b w:val="0"/>
          <w:color w:val="000000"/>
          <w:sz w:val="22"/>
          <w:szCs w:val="22"/>
          <w:lang w:eastAsia="ja-JP"/>
        </w:rPr>
        <w:t xml:space="preserve">ose (MFD) based on </w:t>
      </w:r>
      <w:proofErr w:type="spellStart"/>
      <w:r w:rsidRPr="00C9399A">
        <w:rPr>
          <w:rFonts w:ascii="Century Schoolbook" w:hAnsi="Century Schoolbook"/>
          <w:b w:val="0"/>
          <w:color w:val="000000"/>
          <w:sz w:val="22"/>
          <w:szCs w:val="22"/>
          <w:lang w:eastAsia="ja-JP"/>
        </w:rPr>
        <w:t>physico</w:t>
      </w:r>
      <w:proofErr w:type="spellEnd"/>
      <w:r w:rsidRPr="00C9399A">
        <w:rPr>
          <w:rFonts w:ascii="Century Schoolbook" w:hAnsi="Century Schoolbook"/>
          <w:b w:val="0"/>
          <w:color w:val="000000"/>
          <w:sz w:val="22"/>
          <w:szCs w:val="22"/>
          <w:lang w:eastAsia="ja-JP"/>
        </w:rPr>
        <w:t xml:space="preserve">-chemical properties of the drug in the vehicle (provided the MFD in that vehicle is similar to that achievable with acute administration; </w:t>
      </w:r>
      <w:r w:rsidR="00DB33C4">
        <w:rPr>
          <w:rFonts w:ascii="Century Schoolbook" w:hAnsi="Century Schoolbook"/>
          <w:b w:val="0"/>
          <w:color w:val="000000"/>
          <w:sz w:val="22"/>
          <w:szCs w:val="22"/>
          <w:lang w:eastAsia="ja-JP"/>
        </w:rPr>
        <w:t>Note</w:t>
      </w:r>
      <w:r w:rsidRPr="00C9399A">
        <w:rPr>
          <w:rFonts w:ascii="Century Schoolbook" w:hAnsi="Century Schoolbook"/>
          <w:b w:val="0"/>
          <w:color w:val="000000"/>
          <w:sz w:val="22"/>
          <w:szCs w:val="22"/>
          <w:lang w:eastAsia="ja-JP"/>
        </w:rPr>
        <w:t xml:space="preserve"> 13).</w:t>
      </w:r>
    </w:p>
    <w:p w:rsidR="001D26BE" w:rsidRPr="00C9399A" w:rsidRDefault="001D26BE" w:rsidP="004235DD">
      <w:pPr>
        <w:pStyle w:val="hs"/>
        <w:numPr>
          <w:ilvl w:val="0"/>
          <w:numId w:val="1"/>
        </w:numPr>
        <w:tabs>
          <w:tab w:val="clear" w:pos="426"/>
          <w:tab w:val="clear" w:pos="851"/>
          <w:tab w:val="clear" w:pos="1080"/>
          <w:tab w:val="left" w:pos="-1800"/>
          <w:tab w:val="left" w:pos="-1440"/>
          <w:tab w:val="num" w:pos="540"/>
        </w:tabs>
        <w:ind w:left="540"/>
        <w:rPr>
          <w:rFonts w:ascii="Century Schoolbook" w:hAnsi="Century Schoolbook"/>
          <w:b w:val="0"/>
          <w:color w:val="000000"/>
          <w:sz w:val="22"/>
          <w:szCs w:val="22"/>
          <w:lang w:eastAsia="ja-JP"/>
        </w:rPr>
      </w:pPr>
      <w:r w:rsidRPr="00C9399A">
        <w:rPr>
          <w:rFonts w:ascii="Century Schoolbook" w:hAnsi="Century Schoolbook"/>
          <w:b w:val="0"/>
          <w:color w:val="000000"/>
          <w:sz w:val="22"/>
          <w:szCs w:val="22"/>
          <w:lang w:eastAsia="ja-JP"/>
        </w:rPr>
        <w:t xml:space="preserve">Limit dose of 1000 mg/kg for studies of 14 days </w:t>
      </w:r>
      <w:r w:rsidR="00AD6C4E">
        <w:rPr>
          <w:rFonts w:ascii="Century Schoolbook" w:hAnsi="Century Schoolbook"/>
          <w:b w:val="0"/>
          <w:color w:val="000000"/>
          <w:sz w:val="22"/>
          <w:szCs w:val="22"/>
          <w:lang w:eastAsia="ja-JP"/>
        </w:rPr>
        <w:t>or longer, if this is tolerated.</w:t>
      </w:r>
    </w:p>
    <w:p w:rsidR="001D26BE" w:rsidRPr="00C9399A" w:rsidRDefault="001D26BE" w:rsidP="004235DD">
      <w:pPr>
        <w:pStyle w:val="hs"/>
        <w:numPr>
          <w:ilvl w:val="0"/>
          <w:numId w:val="1"/>
        </w:numPr>
        <w:tabs>
          <w:tab w:val="clear" w:pos="426"/>
          <w:tab w:val="clear" w:pos="851"/>
          <w:tab w:val="clear" w:pos="1080"/>
          <w:tab w:val="left" w:pos="-1800"/>
          <w:tab w:val="left" w:pos="-1440"/>
          <w:tab w:val="num" w:pos="540"/>
        </w:tabs>
        <w:ind w:left="540"/>
        <w:rPr>
          <w:rFonts w:ascii="Century Schoolbook" w:hAnsi="Century Schoolbook"/>
          <w:b w:val="0"/>
          <w:color w:val="000000"/>
          <w:sz w:val="22"/>
          <w:szCs w:val="22"/>
          <w:lang w:eastAsia="ja-JP"/>
        </w:rPr>
      </w:pPr>
      <w:r w:rsidRPr="00C9399A">
        <w:rPr>
          <w:rFonts w:ascii="Century Schoolbook" w:hAnsi="Century Schoolbook"/>
          <w:b w:val="0"/>
          <w:color w:val="000000"/>
          <w:sz w:val="22"/>
          <w:szCs w:val="22"/>
          <w:lang w:eastAsia="ja-JP"/>
        </w:rPr>
        <w:t xml:space="preserve">Maximal possible exposure demonstrated either by reaching a plateau/saturation in exposure or by compound accumulation.  In contrast, substantial reduction in exposure to parent drug with time (e.g., </w:t>
      </w:r>
      <w:r w:rsidRPr="00C9399A">
        <w:rPr>
          <w:rFonts w:ascii="Century Schoolbook" w:hAnsi="Century Schoolbook"/>
          <w:b w:val="0"/>
          <w:color w:val="000000"/>
          <w:sz w:val="22"/>
          <w:szCs w:val="22"/>
          <w:lang w:eastAsia="ja-JP"/>
        </w:rPr>
        <w:sym w:font="Symbol" w:char="F0B3"/>
      </w:r>
      <w:r w:rsidRPr="00C9399A">
        <w:rPr>
          <w:rFonts w:ascii="Century Schoolbook" w:hAnsi="Century Schoolbook"/>
          <w:b w:val="0"/>
          <w:color w:val="000000"/>
          <w:sz w:val="22"/>
          <w:szCs w:val="22"/>
          <w:lang w:eastAsia="ja-JP"/>
        </w:rPr>
        <w:t xml:space="preserve"> 50% reduction from initial exposure) can disqualify the study (unless a blood sample taken in the first few days is available).  If this is seen in one sex, generally the sex with reduced exposure would not be scored at the end of the study, unless there is enhanced exposure to a metabolite of interest.</w:t>
      </w:r>
    </w:p>
    <w:p w:rsidR="001D26BE" w:rsidRPr="00C9399A" w:rsidRDefault="001D26BE" w:rsidP="004235DD">
      <w:pPr>
        <w:pStyle w:val="hs"/>
        <w:numPr>
          <w:ilvl w:val="0"/>
          <w:numId w:val="1"/>
        </w:numPr>
        <w:tabs>
          <w:tab w:val="clear" w:pos="426"/>
          <w:tab w:val="clear" w:pos="851"/>
          <w:tab w:val="clear" w:pos="1080"/>
          <w:tab w:val="left" w:pos="-1920"/>
          <w:tab w:val="left" w:pos="-1800"/>
          <w:tab w:val="left" w:pos="-960"/>
          <w:tab w:val="left" w:pos="0"/>
          <w:tab w:val="num" w:pos="540"/>
          <w:tab w:val="left" w:pos="1320"/>
        </w:tabs>
        <w:ind w:left="540"/>
        <w:rPr>
          <w:rFonts w:ascii="Century Schoolbook" w:hAnsi="Century Schoolbook"/>
          <w:b w:val="0"/>
          <w:color w:val="000000"/>
          <w:sz w:val="22"/>
          <w:szCs w:val="22"/>
          <w:lang w:eastAsia="ja-JP"/>
        </w:rPr>
      </w:pPr>
      <w:r w:rsidRPr="00C9399A">
        <w:rPr>
          <w:rFonts w:ascii="Century Schoolbook" w:hAnsi="Century Schoolbook"/>
          <w:b w:val="0"/>
          <w:color w:val="000000"/>
          <w:sz w:val="22"/>
          <w:szCs w:val="22"/>
          <w:lang w:eastAsia="ja-JP"/>
        </w:rPr>
        <w:t xml:space="preserve">Top dose is </w:t>
      </w:r>
      <w:r w:rsidRPr="00C9399A">
        <w:rPr>
          <w:rFonts w:ascii="Century Schoolbook" w:hAnsi="Century Schoolbook"/>
          <w:b w:val="0"/>
          <w:color w:val="000000"/>
          <w:sz w:val="22"/>
          <w:szCs w:val="22"/>
          <w:lang w:eastAsia="ja-JP"/>
        </w:rPr>
        <w:sym w:font="Symbol" w:char="F0B3"/>
      </w:r>
      <w:r w:rsidRPr="00C9399A">
        <w:rPr>
          <w:rFonts w:ascii="Century Schoolbook" w:hAnsi="Century Schoolbook"/>
          <w:b w:val="0"/>
          <w:color w:val="000000"/>
          <w:sz w:val="22"/>
          <w:szCs w:val="22"/>
          <w:lang w:eastAsia="ja-JP"/>
        </w:rPr>
        <w:t xml:space="preserve"> 50% of the top dose that would be used for acute administration, i.e., </w:t>
      </w:r>
      <w:proofErr w:type="gramStart"/>
      <w:r w:rsidRPr="00C9399A">
        <w:rPr>
          <w:rFonts w:ascii="Century Schoolbook" w:hAnsi="Century Schoolbook"/>
          <w:b w:val="0"/>
          <w:color w:val="000000"/>
          <w:sz w:val="22"/>
          <w:szCs w:val="22"/>
          <w:lang w:eastAsia="ja-JP"/>
        </w:rPr>
        <w:t>close</w:t>
      </w:r>
      <w:proofErr w:type="gramEnd"/>
      <w:r w:rsidRPr="00C9399A">
        <w:rPr>
          <w:rFonts w:ascii="Century Schoolbook" w:hAnsi="Century Schoolbook"/>
          <w:b w:val="0"/>
          <w:color w:val="000000"/>
          <w:sz w:val="22"/>
          <w:szCs w:val="22"/>
          <w:lang w:eastAsia="ja-JP"/>
        </w:rPr>
        <w:t xml:space="preserve"> to the minimum lethal dose, if such acute data are available for other reasons.  (The top dose for acute administration micronucleus tests is currently described in </w:t>
      </w:r>
      <w:r w:rsidRPr="00C9399A">
        <w:rPr>
          <w:rFonts w:ascii="Century Schoolbook" w:hAnsi="Century Schoolbook"/>
          <w:b w:val="0"/>
          <w:color w:val="000000"/>
          <w:sz w:val="22"/>
          <w:szCs w:val="22"/>
          <w:lang w:eastAsia="ja-JP"/>
        </w:rPr>
        <w:lastRenderedPageBreak/>
        <w:t>OECD guidance as the dose above which lethality would be expec</w:t>
      </w:r>
      <w:r w:rsidR="005B776A">
        <w:rPr>
          <w:rFonts w:ascii="Century Schoolbook" w:hAnsi="Century Schoolbook"/>
          <w:b w:val="0"/>
          <w:color w:val="000000"/>
          <w:sz w:val="22"/>
          <w:szCs w:val="22"/>
          <w:lang w:eastAsia="ja-JP"/>
        </w:rPr>
        <w:t>ted; similar guidance is given (</w:t>
      </w:r>
      <w:r w:rsidRPr="00C9399A">
        <w:rPr>
          <w:rFonts w:ascii="Century Schoolbook" w:hAnsi="Century Schoolbook"/>
          <w:b w:val="0"/>
          <w:color w:val="000000"/>
          <w:sz w:val="22"/>
          <w:szCs w:val="22"/>
          <w:lang w:eastAsia="ja-JP"/>
        </w:rPr>
        <w:t>e.g.</w:t>
      </w:r>
      <w:r w:rsidR="00C20B22">
        <w:rPr>
          <w:rFonts w:ascii="Century Schoolbook" w:hAnsi="Century Schoolbook"/>
          <w:b w:val="0"/>
          <w:color w:val="000000"/>
          <w:sz w:val="22"/>
          <w:szCs w:val="22"/>
          <w:lang w:eastAsia="ja-JP"/>
        </w:rPr>
        <w:t>,</w:t>
      </w:r>
      <w:r w:rsidRPr="00C9399A">
        <w:rPr>
          <w:rFonts w:ascii="Century Schoolbook" w:hAnsi="Century Schoolbook"/>
          <w:b w:val="0"/>
          <w:color w:val="000000"/>
          <w:sz w:val="22"/>
          <w:szCs w:val="22"/>
          <w:lang w:eastAsia="ja-JP"/>
        </w:rPr>
        <w:t xml:space="preserve"> Hartmann et al., 2003</w:t>
      </w:r>
      <w:r w:rsidR="005B776A">
        <w:rPr>
          <w:rFonts w:ascii="Century Schoolbook" w:hAnsi="Century Schoolbook"/>
          <w:b w:val="0"/>
          <w:color w:val="000000"/>
          <w:sz w:val="22"/>
          <w:szCs w:val="22"/>
          <w:lang w:eastAsia="ja-JP"/>
        </w:rPr>
        <w:t>)</w:t>
      </w:r>
      <w:r w:rsidRPr="00C9399A">
        <w:rPr>
          <w:rFonts w:ascii="Century Schoolbook" w:hAnsi="Century Schoolbook"/>
          <w:b w:val="0"/>
          <w:color w:val="000000"/>
          <w:sz w:val="22"/>
          <w:szCs w:val="22"/>
          <w:lang w:eastAsia="ja-JP"/>
        </w:rPr>
        <w:t xml:space="preserve"> for other </w:t>
      </w:r>
      <w:r w:rsidRPr="00C9399A">
        <w:rPr>
          <w:rFonts w:ascii="Century Schoolbook" w:hAnsi="Century Schoolbook"/>
          <w:b w:val="0"/>
          <w:i/>
          <w:color w:val="000000"/>
          <w:sz w:val="22"/>
          <w:szCs w:val="22"/>
          <w:lang w:eastAsia="ja-JP"/>
        </w:rPr>
        <w:t>in vivo</w:t>
      </w:r>
      <w:r w:rsidRPr="00C9399A">
        <w:rPr>
          <w:rFonts w:ascii="Century Schoolbook" w:hAnsi="Century Schoolbook"/>
          <w:b w:val="0"/>
          <w:color w:val="000000"/>
          <w:sz w:val="22"/>
          <w:szCs w:val="22"/>
          <w:lang w:eastAsia="ja-JP"/>
        </w:rPr>
        <w:t xml:space="preserve"> assays.)</w:t>
      </w:r>
    </w:p>
    <w:p w:rsidR="001D26BE" w:rsidRPr="00C9399A" w:rsidRDefault="001D26BE" w:rsidP="009537EF">
      <w:pPr>
        <w:tabs>
          <w:tab w:val="left" w:pos="360"/>
        </w:tabs>
        <w:autoSpaceDE w:val="0"/>
        <w:autoSpaceDN w:val="0"/>
        <w:adjustRightInd w:val="0"/>
        <w:spacing w:after="120"/>
        <w:textAlignment w:val="bottom"/>
        <w:rPr>
          <w:rFonts w:ascii="Century Schoolbook" w:hAnsi="Century Schoolbook"/>
          <w:kern w:val="0"/>
          <w:sz w:val="22"/>
          <w:szCs w:val="22"/>
        </w:rPr>
      </w:pPr>
      <w:r w:rsidRPr="00C9399A">
        <w:rPr>
          <w:rFonts w:ascii="Century Schoolbook" w:hAnsi="Century Schoolbook"/>
          <w:kern w:val="0"/>
          <w:sz w:val="22"/>
          <w:szCs w:val="22"/>
        </w:rPr>
        <w:t>Selection of a top dose based only on an exposure margin (multiple over clinical exposure) without toxicity is not considered sufficient justification.</w:t>
      </w:r>
    </w:p>
    <w:p w:rsidR="001D26BE" w:rsidRPr="008B2ED1" w:rsidRDefault="001D26BE" w:rsidP="008B2ED1">
      <w:pPr>
        <w:pStyle w:val="Heading3"/>
        <w:numPr>
          <w:ilvl w:val="2"/>
          <w:numId w:val="36"/>
        </w:numPr>
        <w:spacing w:before="120"/>
        <w:rPr>
          <w:rFonts w:ascii="Century Schoolbook" w:hAnsi="Century Schoolbook"/>
          <w:i/>
          <w:kern w:val="0"/>
          <w:sz w:val="22"/>
          <w:szCs w:val="22"/>
        </w:rPr>
      </w:pPr>
      <w:bookmarkStart w:id="64" w:name="_Toc309742195"/>
      <w:bookmarkStart w:id="65" w:name="_Toc309835293"/>
      <w:r w:rsidRPr="008B2ED1">
        <w:rPr>
          <w:rFonts w:ascii="Century Schoolbook" w:hAnsi="Century Schoolbook"/>
          <w:i/>
          <w:kern w:val="0"/>
          <w:sz w:val="22"/>
          <w:szCs w:val="22"/>
        </w:rPr>
        <w:t xml:space="preserve">Testing </w:t>
      </w:r>
      <w:r w:rsidR="001303EB" w:rsidRPr="008B2ED1">
        <w:rPr>
          <w:rFonts w:ascii="Century Schoolbook" w:hAnsi="Century Schoolbook"/>
          <w:i/>
          <w:kern w:val="0"/>
          <w:sz w:val="22"/>
          <w:szCs w:val="22"/>
        </w:rPr>
        <w:t>Compounds that are Toxic for Blood or Bone Marrow</w:t>
      </w:r>
      <w:bookmarkEnd w:id="64"/>
      <w:bookmarkEnd w:id="65"/>
    </w:p>
    <w:p w:rsidR="001D26BE" w:rsidRPr="00C9399A" w:rsidRDefault="001D26BE" w:rsidP="004A62F4">
      <w:pPr>
        <w:autoSpaceDE w:val="0"/>
        <w:autoSpaceDN w:val="0"/>
        <w:adjustRightInd w:val="0"/>
        <w:spacing w:after="120"/>
        <w:textAlignment w:val="bottom"/>
        <w:rPr>
          <w:rFonts w:ascii="Century Schoolbook" w:hAnsi="Century Schoolbook"/>
          <w:bCs/>
          <w:kern w:val="0"/>
          <w:sz w:val="22"/>
          <w:szCs w:val="22"/>
        </w:rPr>
      </w:pPr>
      <w:r w:rsidRPr="00C9399A">
        <w:rPr>
          <w:rFonts w:ascii="Century Schoolbook" w:hAnsi="Century Schoolbook"/>
          <w:bCs/>
          <w:kern w:val="0"/>
          <w:sz w:val="22"/>
          <w:szCs w:val="22"/>
        </w:rPr>
        <w:t xml:space="preserve">Many compounds that induce </w:t>
      </w:r>
      <w:proofErr w:type="spellStart"/>
      <w:r w:rsidRPr="00C9399A">
        <w:rPr>
          <w:rFonts w:ascii="Century Schoolbook" w:hAnsi="Century Schoolbook"/>
          <w:bCs/>
          <w:kern w:val="0"/>
          <w:sz w:val="22"/>
          <w:szCs w:val="22"/>
        </w:rPr>
        <w:t>aneuploidy</w:t>
      </w:r>
      <w:proofErr w:type="spellEnd"/>
      <w:r w:rsidRPr="00C9399A">
        <w:rPr>
          <w:rFonts w:ascii="Century Schoolbook" w:hAnsi="Century Schoolbook"/>
          <w:bCs/>
          <w:kern w:val="0"/>
          <w:sz w:val="22"/>
          <w:szCs w:val="22"/>
        </w:rPr>
        <w:t xml:space="preserve">, such as potent spindle poisons, are detectable in </w:t>
      </w:r>
      <w:proofErr w:type="spellStart"/>
      <w:r w:rsidRPr="00C9399A">
        <w:rPr>
          <w:rFonts w:ascii="Century Schoolbook" w:hAnsi="Century Schoolbook"/>
          <w:bCs/>
          <w:i/>
          <w:iCs/>
          <w:kern w:val="0"/>
          <w:sz w:val="22"/>
          <w:szCs w:val="22"/>
        </w:rPr>
        <w:t>in</w:t>
      </w:r>
      <w:proofErr w:type="spellEnd"/>
      <w:r w:rsidRPr="00C9399A">
        <w:rPr>
          <w:rFonts w:ascii="Century Schoolbook" w:hAnsi="Century Schoolbook"/>
          <w:bCs/>
          <w:i/>
          <w:iCs/>
          <w:kern w:val="0"/>
          <w:sz w:val="22"/>
          <w:szCs w:val="22"/>
        </w:rPr>
        <w:t xml:space="preserve"> vivo</w:t>
      </w:r>
      <w:r w:rsidRPr="00C9399A">
        <w:rPr>
          <w:rFonts w:ascii="Century Schoolbook" w:hAnsi="Century Schoolbook"/>
          <w:bCs/>
          <w:kern w:val="0"/>
          <w:sz w:val="22"/>
          <w:szCs w:val="22"/>
        </w:rPr>
        <w:t xml:space="preserve"> micronucleus assays in bone marrow or blood only within a narrow range of doses approaching toxic doses.  This is also true for some </w:t>
      </w:r>
      <w:proofErr w:type="spellStart"/>
      <w:r w:rsidRPr="00C9399A">
        <w:rPr>
          <w:rFonts w:ascii="Century Schoolbook" w:hAnsi="Century Schoolbook"/>
          <w:bCs/>
          <w:kern w:val="0"/>
          <w:sz w:val="22"/>
          <w:szCs w:val="22"/>
        </w:rPr>
        <w:t>clastogens</w:t>
      </w:r>
      <w:proofErr w:type="spellEnd"/>
      <w:r w:rsidRPr="00C9399A">
        <w:rPr>
          <w:rFonts w:ascii="Century Schoolbook" w:hAnsi="Century Schoolbook"/>
          <w:bCs/>
          <w:kern w:val="0"/>
          <w:sz w:val="22"/>
          <w:szCs w:val="22"/>
        </w:rPr>
        <w:t xml:space="preserve">.  If toxicological data indicate severe toxicity to the red blood cell lineage (e.g., marked suppression of </w:t>
      </w:r>
      <w:r w:rsidR="008122D2" w:rsidRPr="008122D2">
        <w:rPr>
          <w:rFonts w:ascii="Century Schoolbook" w:hAnsi="Century Schoolbook"/>
          <w:bCs/>
          <w:kern w:val="0"/>
          <w:sz w:val="22"/>
          <w:szCs w:val="22"/>
        </w:rPr>
        <w:t>Poly</w:t>
      </w:r>
      <w:r w:rsidR="008122D2">
        <w:rPr>
          <w:rFonts w:ascii="Century Schoolbook" w:hAnsi="Century Schoolbook"/>
          <w:bCs/>
          <w:kern w:val="0"/>
          <w:sz w:val="22"/>
          <w:szCs w:val="22"/>
        </w:rPr>
        <w:t>c</w:t>
      </w:r>
      <w:r w:rsidR="008122D2" w:rsidRPr="008122D2">
        <w:rPr>
          <w:rFonts w:ascii="Century Schoolbook" w:hAnsi="Century Schoolbook"/>
          <w:bCs/>
          <w:kern w:val="0"/>
          <w:sz w:val="22"/>
          <w:szCs w:val="22"/>
        </w:rPr>
        <w:t>hromatic Erythrocytes</w:t>
      </w:r>
      <w:r w:rsidR="008122D2">
        <w:rPr>
          <w:rFonts w:ascii="Century Schoolbook" w:hAnsi="Century Schoolbook"/>
          <w:bCs/>
          <w:kern w:val="0"/>
          <w:sz w:val="22"/>
          <w:szCs w:val="22"/>
        </w:rPr>
        <w:t xml:space="preserve"> (</w:t>
      </w:r>
      <w:r w:rsidRPr="00C9399A">
        <w:rPr>
          <w:rFonts w:ascii="Century Schoolbook" w:hAnsi="Century Schoolbook"/>
          <w:bCs/>
          <w:kern w:val="0"/>
          <w:sz w:val="22"/>
          <w:szCs w:val="22"/>
        </w:rPr>
        <w:t>PCEs</w:t>
      </w:r>
      <w:r w:rsidR="008122D2">
        <w:rPr>
          <w:rFonts w:ascii="Century Schoolbook" w:hAnsi="Century Schoolbook"/>
          <w:bCs/>
          <w:kern w:val="0"/>
          <w:sz w:val="22"/>
          <w:szCs w:val="22"/>
        </w:rPr>
        <w:t>)</w:t>
      </w:r>
      <w:r w:rsidRPr="00C9399A">
        <w:rPr>
          <w:rFonts w:ascii="Century Schoolbook" w:hAnsi="Century Schoolbook"/>
          <w:bCs/>
          <w:kern w:val="0"/>
          <w:sz w:val="22"/>
          <w:szCs w:val="22"/>
        </w:rPr>
        <w:t xml:space="preserve"> or </w:t>
      </w:r>
      <w:proofErr w:type="spellStart"/>
      <w:r w:rsidRPr="00C9399A">
        <w:rPr>
          <w:rFonts w:ascii="Century Schoolbook" w:hAnsi="Century Schoolbook"/>
          <w:bCs/>
          <w:kern w:val="0"/>
          <w:sz w:val="22"/>
          <w:szCs w:val="22"/>
        </w:rPr>
        <w:t>reticulocytes</w:t>
      </w:r>
      <w:proofErr w:type="spellEnd"/>
      <w:r w:rsidRPr="00C9399A">
        <w:rPr>
          <w:rFonts w:ascii="Century Schoolbook" w:hAnsi="Century Schoolbook"/>
          <w:bCs/>
          <w:kern w:val="0"/>
          <w:sz w:val="22"/>
          <w:szCs w:val="22"/>
        </w:rPr>
        <w:t xml:space="preserve">), doses scored should be spaced not more than about 2 fold below the top, </w:t>
      </w:r>
      <w:proofErr w:type="spellStart"/>
      <w:r w:rsidRPr="00C9399A">
        <w:rPr>
          <w:rFonts w:ascii="Century Schoolbook" w:hAnsi="Century Schoolbook"/>
          <w:bCs/>
          <w:kern w:val="0"/>
          <w:sz w:val="22"/>
          <w:szCs w:val="22"/>
        </w:rPr>
        <w:t>cytotoxic</w:t>
      </w:r>
      <w:proofErr w:type="spellEnd"/>
      <w:r w:rsidRPr="00C9399A">
        <w:rPr>
          <w:rFonts w:ascii="Century Schoolbook" w:hAnsi="Century Schoolbook"/>
          <w:bCs/>
          <w:kern w:val="0"/>
          <w:sz w:val="22"/>
          <w:szCs w:val="22"/>
        </w:rPr>
        <w:t xml:space="preserve"> dose.  If suitable doses are not included in a multi-week study, additional data that could contribute to the detection of </w:t>
      </w:r>
      <w:proofErr w:type="spellStart"/>
      <w:r w:rsidRPr="00C9399A">
        <w:rPr>
          <w:rFonts w:ascii="Century Schoolbook" w:hAnsi="Century Schoolbook"/>
          <w:bCs/>
          <w:kern w:val="0"/>
          <w:sz w:val="22"/>
          <w:szCs w:val="22"/>
        </w:rPr>
        <w:t>aneugens</w:t>
      </w:r>
      <w:proofErr w:type="spellEnd"/>
      <w:r w:rsidRPr="00C9399A">
        <w:rPr>
          <w:rFonts w:ascii="Century Schoolbook" w:hAnsi="Century Schoolbook"/>
          <w:bCs/>
          <w:kern w:val="0"/>
          <w:sz w:val="22"/>
          <w:szCs w:val="22"/>
        </w:rPr>
        <w:t xml:space="preserve"> and some toxic </w:t>
      </w:r>
      <w:proofErr w:type="spellStart"/>
      <w:r w:rsidRPr="00C9399A">
        <w:rPr>
          <w:rFonts w:ascii="Century Schoolbook" w:hAnsi="Century Schoolbook"/>
          <w:bCs/>
          <w:kern w:val="0"/>
          <w:sz w:val="22"/>
          <w:szCs w:val="22"/>
        </w:rPr>
        <w:t>clastogens</w:t>
      </w:r>
      <w:proofErr w:type="spellEnd"/>
      <w:r w:rsidRPr="00C9399A">
        <w:rPr>
          <w:rFonts w:ascii="Century Schoolbook" w:hAnsi="Century Schoolbook"/>
          <w:bCs/>
          <w:kern w:val="0"/>
          <w:sz w:val="22"/>
          <w:szCs w:val="22"/>
        </w:rPr>
        <w:t xml:space="preserve"> could be derived from any one of the following:</w:t>
      </w:r>
    </w:p>
    <w:p w:rsidR="001D26BE" w:rsidRPr="00C9399A" w:rsidRDefault="001D26BE" w:rsidP="004235DD">
      <w:pPr>
        <w:numPr>
          <w:ilvl w:val="1"/>
          <w:numId w:val="2"/>
        </w:numPr>
        <w:tabs>
          <w:tab w:val="clear" w:pos="1260"/>
        </w:tabs>
        <w:autoSpaceDE w:val="0"/>
        <w:autoSpaceDN w:val="0"/>
        <w:adjustRightInd w:val="0"/>
        <w:spacing w:after="120"/>
        <w:ind w:left="540" w:hanging="360"/>
        <w:textAlignment w:val="bottom"/>
        <w:rPr>
          <w:rFonts w:ascii="Century Schoolbook" w:hAnsi="Century Schoolbook"/>
          <w:bCs/>
          <w:kern w:val="0"/>
          <w:sz w:val="22"/>
          <w:szCs w:val="22"/>
        </w:rPr>
      </w:pPr>
      <w:r w:rsidRPr="00C9399A">
        <w:rPr>
          <w:rFonts w:ascii="Century Schoolbook" w:hAnsi="Century Schoolbook"/>
          <w:bCs/>
          <w:kern w:val="0"/>
          <w:sz w:val="22"/>
          <w:szCs w:val="22"/>
        </w:rPr>
        <w:t>Early blood sampling (at 3</w:t>
      </w:r>
      <w:r w:rsidR="00AD6C4E">
        <w:rPr>
          <w:rFonts w:ascii="Century Schoolbook" w:hAnsi="Century Schoolbook"/>
          <w:bCs/>
          <w:kern w:val="0"/>
          <w:sz w:val="22"/>
          <w:szCs w:val="22"/>
        </w:rPr>
        <w:t>-</w:t>
      </w:r>
      <w:r w:rsidRPr="00C9399A">
        <w:rPr>
          <w:rFonts w:ascii="Century Schoolbook" w:hAnsi="Century Schoolbook"/>
          <w:bCs/>
          <w:kern w:val="0"/>
          <w:sz w:val="22"/>
          <w:szCs w:val="22"/>
        </w:rPr>
        <w:t xml:space="preserve">4 days) is advisable when there are marked increases in toxicity with increasing treatment time.  For example, when blood or bone marrow is used for micronucleus measurement in a </w:t>
      </w:r>
      <w:proofErr w:type="spellStart"/>
      <w:r w:rsidRPr="00C9399A">
        <w:rPr>
          <w:rFonts w:ascii="Century Schoolbook" w:hAnsi="Century Schoolbook"/>
          <w:bCs/>
          <w:kern w:val="0"/>
          <w:sz w:val="22"/>
          <w:szCs w:val="22"/>
        </w:rPr>
        <w:t>multiweek</w:t>
      </w:r>
      <w:proofErr w:type="spellEnd"/>
      <w:r w:rsidRPr="00C9399A">
        <w:rPr>
          <w:rFonts w:ascii="Century Schoolbook" w:hAnsi="Century Schoolbook"/>
          <w:bCs/>
          <w:kern w:val="0"/>
          <w:sz w:val="22"/>
          <w:szCs w:val="22"/>
        </w:rPr>
        <w:t xml:space="preserve"> study (e.g., 28 days), and </w:t>
      </w:r>
      <w:proofErr w:type="spellStart"/>
      <w:r w:rsidRPr="00C9399A">
        <w:rPr>
          <w:rFonts w:ascii="Century Schoolbook" w:hAnsi="Century Schoolbook"/>
          <w:bCs/>
          <w:kern w:val="0"/>
          <w:sz w:val="22"/>
          <w:szCs w:val="22"/>
        </w:rPr>
        <w:t>reticulocytes</w:t>
      </w:r>
      <w:proofErr w:type="spellEnd"/>
      <w:r w:rsidRPr="00C9399A">
        <w:rPr>
          <w:rFonts w:ascii="Century Schoolbook" w:hAnsi="Century Schoolbook"/>
          <w:bCs/>
          <w:kern w:val="0"/>
          <w:sz w:val="22"/>
          <w:szCs w:val="22"/>
        </w:rPr>
        <w:t xml:space="preserve"> are scored, marked </w:t>
      </w:r>
      <w:proofErr w:type="spellStart"/>
      <w:r w:rsidRPr="00C9399A">
        <w:rPr>
          <w:rFonts w:ascii="Century Schoolbook" w:hAnsi="Century Schoolbook"/>
          <w:bCs/>
          <w:kern w:val="0"/>
          <w:sz w:val="22"/>
          <w:szCs w:val="22"/>
        </w:rPr>
        <w:t>hematotoxicity</w:t>
      </w:r>
      <w:proofErr w:type="spellEnd"/>
      <w:r w:rsidRPr="00C9399A">
        <w:rPr>
          <w:rFonts w:ascii="Century Schoolbook" w:hAnsi="Century Schoolbook"/>
          <w:bCs/>
          <w:kern w:val="0"/>
          <w:sz w:val="22"/>
          <w:szCs w:val="22"/>
        </w:rPr>
        <w:t xml:space="preserve"> can affect the ability to detect micronuclei; i.e., a dose that induces detectable increases in micronuclei after acute treatment might be too toxic to analyze after multiple t</w:t>
      </w:r>
      <w:r w:rsidR="002A5938">
        <w:rPr>
          <w:rFonts w:ascii="Century Schoolbook" w:hAnsi="Century Schoolbook"/>
          <w:bCs/>
          <w:kern w:val="0"/>
          <w:sz w:val="22"/>
          <w:szCs w:val="22"/>
        </w:rPr>
        <w:t>reatments (Hamada et al., 2001)</w:t>
      </w:r>
      <w:r w:rsidRPr="00C9399A">
        <w:rPr>
          <w:rFonts w:ascii="Century Schoolbook" w:hAnsi="Century Schoolbook"/>
          <w:bCs/>
          <w:kern w:val="0"/>
          <w:sz w:val="22"/>
          <w:szCs w:val="22"/>
        </w:rPr>
        <w:t xml:space="preserve">.  The early sample can be used to provide assurance that </w:t>
      </w:r>
      <w:proofErr w:type="spellStart"/>
      <w:r w:rsidRPr="00C9399A">
        <w:rPr>
          <w:rFonts w:ascii="Century Schoolbook" w:hAnsi="Century Schoolbook"/>
          <w:bCs/>
          <w:kern w:val="0"/>
          <w:sz w:val="22"/>
          <w:szCs w:val="22"/>
        </w:rPr>
        <w:t>clastogens</w:t>
      </w:r>
      <w:proofErr w:type="spellEnd"/>
      <w:r w:rsidRPr="00C9399A">
        <w:rPr>
          <w:rFonts w:ascii="Century Schoolbook" w:hAnsi="Century Schoolbook"/>
          <w:bCs/>
          <w:kern w:val="0"/>
          <w:sz w:val="22"/>
          <w:szCs w:val="22"/>
        </w:rPr>
        <w:t xml:space="preserve"> and potential </w:t>
      </w:r>
      <w:proofErr w:type="spellStart"/>
      <w:r w:rsidRPr="00C9399A">
        <w:rPr>
          <w:rFonts w:ascii="Century Schoolbook" w:hAnsi="Century Schoolbook"/>
          <w:bCs/>
          <w:kern w:val="0"/>
          <w:sz w:val="22"/>
          <w:szCs w:val="22"/>
        </w:rPr>
        <w:t>aneugens</w:t>
      </w:r>
      <w:proofErr w:type="spellEnd"/>
      <w:r w:rsidRPr="00C9399A">
        <w:rPr>
          <w:rFonts w:ascii="Century Schoolbook" w:hAnsi="Century Schoolbook"/>
          <w:bCs/>
          <w:kern w:val="0"/>
          <w:sz w:val="22"/>
          <w:szCs w:val="22"/>
        </w:rPr>
        <w:t xml:space="preserve"> are detected (but see </w:t>
      </w:r>
      <w:r w:rsidR="00DB33C4">
        <w:rPr>
          <w:rFonts w:ascii="Century Schoolbook" w:hAnsi="Century Schoolbook"/>
          <w:bCs/>
          <w:kern w:val="0"/>
          <w:sz w:val="22"/>
          <w:szCs w:val="22"/>
        </w:rPr>
        <w:t>Note</w:t>
      </w:r>
      <w:r w:rsidRPr="00C9399A">
        <w:rPr>
          <w:rFonts w:ascii="Century Schoolbook" w:hAnsi="Century Schoolbook"/>
          <w:bCs/>
          <w:kern w:val="0"/>
          <w:sz w:val="22"/>
          <w:szCs w:val="22"/>
        </w:rPr>
        <w:t>s 14 and 15).</w:t>
      </w:r>
    </w:p>
    <w:p w:rsidR="001D26BE" w:rsidRPr="00C9399A" w:rsidRDefault="002B1872" w:rsidP="004235DD">
      <w:pPr>
        <w:numPr>
          <w:ilvl w:val="1"/>
          <w:numId w:val="2"/>
        </w:numPr>
        <w:tabs>
          <w:tab w:val="clear" w:pos="1260"/>
        </w:tabs>
        <w:autoSpaceDE w:val="0"/>
        <w:autoSpaceDN w:val="0"/>
        <w:adjustRightInd w:val="0"/>
        <w:spacing w:after="120"/>
        <w:ind w:left="540" w:hanging="360"/>
        <w:textAlignment w:val="bottom"/>
        <w:rPr>
          <w:rFonts w:ascii="Century Schoolbook" w:hAnsi="Century Schoolbook"/>
          <w:bCs/>
          <w:kern w:val="0"/>
          <w:sz w:val="22"/>
          <w:szCs w:val="22"/>
        </w:rPr>
      </w:pPr>
      <w:r>
        <w:rPr>
          <w:rFonts w:ascii="Century Schoolbook" w:hAnsi="Century Schoolbook"/>
          <w:bCs/>
          <w:kern w:val="0"/>
          <w:sz w:val="22"/>
          <w:szCs w:val="22"/>
        </w:rPr>
        <w:t>A</w:t>
      </w:r>
      <w:r w:rsidR="001D26BE" w:rsidRPr="00C9399A">
        <w:rPr>
          <w:rFonts w:ascii="Century Schoolbook" w:hAnsi="Century Schoolbook"/>
          <w:bCs/>
          <w:kern w:val="0"/>
          <w:sz w:val="22"/>
          <w:szCs w:val="22"/>
        </w:rPr>
        <w:t xml:space="preserve">n </w:t>
      </w:r>
      <w:r w:rsidR="001D26BE" w:rsidRPr="00C9399A">
        <w:rPr>
          <w:rFonts w:ascii="Century Schoolbook" w:hAnsi="Century Schoolbook"/>
          <w:bCs/>
          <w:i/>
          <w:kern w:val="0"/>
          <w:sz w:val="22"/>
          <w:szCs w:val="22"/>
        </w:rPr>
        <w:t>in vitro</w:t>
      </w:r>
      <w:r w:rsidR="001D26BE" w:rsidRPr="00C9399A">
        <w:rPr>
          <w:rFonts w:ascii="Century Schoolbook" w:hAnsi="Century Schoolbook"/>
          <w:bCs/>
          <w:kern w:val="0"/>
          <w:sz w:val="22"/>
          <w:szCs w:val="22"/>
        </w:rPr>
        <w:t xml:space="preserve"> mammalian cell micronucleus assay</w:t>
      </w:r>
      <w:r>
        <w:rPr>
          <w:rFonts w:ascii="Century Schoolbook" w:hAnsi="Century Schoolbook"/>
          <w:bCs/>
          <w:kern w:val="0"/>
          <w:sz w:val="22"/>
          <w:szCs w:val="22"/>
        </w:rPr>
        <w:t>.</w:t>
      </w:r>
    </w:p>
    <w:p w:rsidR="001D26BE" w:rsidRPr="00C9399A" w:rsidRDefault="002B1872" w:rsidP="004235DD">
      <w:pPr>
        <w:numPr>
          <w:ilvl w:val="1"/>
          <w:numId w:val="2"/>
        </w:numPr>
        <w:tabs>
          <w:tab w:val="clear" w:pos="1260"/>
        </w:tabs>
        <w:autoSpaceDE w:val="0"/>
        <w:autoSpaceDN w:val="0"/>
        <w:adjustRightInd w:val="0"/>
        <w:spacing w:after="120"/>
        <w:ind w:left="540" w:hanging="360"/>
        <w:textAlignment w:val="bottom"/>
        <w:rPr>
          <w:rFonts w:ascii="Century Schoolbook" w:hAnsi="Century Schoolbook"/>
          <w:bCs/>
          <w:kern w:val="0"/>
          <w:sz w:val="22"/>
          <w:szCs w:val="22"/>
        </w:rPr>
      </w:pPr>
      <w:r>
        <w:rPr>
          <w:rFonts w:ascii="Century Schoolbook" w:hAnsi="Century Schoolbook"/>
          <w:bCs/>
          <w:kern w:val="0"/>
          <w:sz w:val="22"/>
          <w:szCs w:val="22"/>
        </w:rPr>
        <w:t>A</w:t>
      </w:r>
      <w:r w:rsidR="001D26BE" w:rsidRPr="00C9399A">
        <w:rPr>
          <w:rFonts w:ascii="Century Schoolbook" w:hAnsi="Century Schoolbook"/>
          <w:bCs/>
          <w:kern w:val="0"/>
          <w:sz w:val="22"/>
          <w:szCs w:val="22"/>
        </w:rPr>
        <w:t>n acute bone marrow micronucleus assay</w:t>
      </w:r>
      <w:r>
        <w:rPr>
          <w:rFonts w:ascii="Century Schoolbook" w:hAnsi="Century Schoolbook"/>
          <w:bCs/>
          <w:kern w:val="0"/>
          <w:sz w:val="22"/>
          <w:szCs w:val="22"/>
        </w:rPr>
        <w:t>.</w:t>
      </w:r>
    </w:p>
    <w:p w:rsidR="001D26BE" w:rsidRPr="0078046D" w:rsidRDefault="001D26BE" w:rsidP="00AA186A">
      <w:pPr>
        <w:pStyle w:val="Heading2"/>
        <w:numPr>
          <w:ilvl w:val="1"/>
          <w:numId w:val="36"/>
        </w:numPr>
        <w:spacing w:before="180" w:after="120"/>
        <w:ind w:left="720" w:hanging="720"/>
        <w:rPr>
          <w:rFonts w:ascii="Century Schoolbook" w:hAnsi="Century Schoolbook"/>
          <w:i w:val="0"/>
          <w:kern w:val="0"/>
          <w:sz w:val="22"/>
          <w:szCs w:val="22"/>
        </w:rPr>
      </w:pPr>
      <w:bookmarkStart w:id="66" w:name="_Toc309742196"/>
      <w:bookmarkStart w:id="67" w:name="_Toc309835294"/>
      <w:r w:rsidRPr="0078046D">
        <w:rPr>
          <w:rFonts w:ascii="Century Schoolbook" w:hAnsi="Century Schoolbook"/>
          <w:i w:val="0"/>
          <w:kern w:val="0"/>
          <w:sz w:val="22"/>
          <w:szCs w:val="22"/>
        </w:rPr>
        <w:t xml:space="preserve">Demonstration </w:t>
      </w:r>
      <w:r w:rsidR="001303EB" w:rsidRPr="0078046D">
        <w:rPr>
          <w:rFonts w:ascii="Century Schoolbook" w:hAnsi="Century Schoolbook"/>
          <w:i w:val="0"/>
          <w:kern w:val="0"/>
          <w:sz w:val="22"/>
          <w:szCs w:val="22"/>
        </w:rPr>
        <w:t xml:space="preserve">of Target Tissue Exposure for Negative </w:t>
      </w:r>
      <w:proofErr w:type="gramStart"/>
      <w:r w:rsidR="001D2B20" w:rsidRPr="001D2B20">
        <w:rPr>
          <w:rFonts w:ascii="Century Schoolbook" w:hAnsi="Century Schoolbook"/>
          <w:iCs w:val="0"/>
          <w:kern w:val="0"/>
          <w:sz w:val="22"/>
          <w:szCs w:val="22"/>
        </w:rPr>
        <w:t>In</w:t>
      </w:r>
      <w:proofErr w:type="gramEnd"/>
      <w:r w:rsidR="001D2B20" w:rsidRPr="001D2B20">
        <w:rPr>
          <w:rFonts w:ascii="Century Schoolbook" w:hAnsi="Century Schoolbook"/>
          <w:iCs w:val="0"/>
          <w:kern w:val="0"/>
          <w:sz w:val="22"/>
          <w:szCs w:val="22"/>
        </w:rPr>
        <w:t xml:space="preserve"> Vivo</w:t>
      </w:r>
      <w:r w:rsidR="001303EB" w:rsidRPr="0078046D">
        <w:rPr>
          <w:rFonts w:ascii="Century Schoolbook" w:hAnsi="Century Schoolbook"/>
          <w:i w:val="0"/>
          <w:iCs w:val="0"/>
          <w:kern w:val="0"/>
          <w:sz w:val="22"/>
          <w:szCs w:val="22"/>
        </w:rPr>
        <w:t xml:space="preserve"> </w:t>
      </w:r>
      <w:r w:rsidR="001303EB" w:rsidRPr="0078046D">
        <w:rPr>
          <w:rFonts w:ascii="Century Schoolbook" w:hAnsi="Century Schoolbook"/>
          <w:i w:val="0"/>
          <w:kern w:val="0"/>
          <w:sz w:val="22"/>
          <w:szCs w:val="22"/>
        </w:rPr>
        <w:t>Test Results</w:t>
      </w:r>
      <w:bookmarkEnd w:id="66"/>
      <w:bookmarkEnd w:id="67"/>
    </w:p>
    <w:p w:rsidR="001D26BE" w:rsidRPr="00C9399A" w:rsidRDefault="001D26BE" w:rsidP="004A62F4">
      <w:pPr>
        <w:autoSpaceDE w:val="0"/>
        <w:autoSpaceDN w:val="0"/>
        <w:adjustRightInd w:val="0"/>
        <w:spacing w:after="120"/>
        <w:textAlignment w:val="bottom"/>
        <w:rPr>
          <w:rFonts w:ascii="Century Schoolbook" w:hAnsi="Century Schoolbook"/>
          <w:kern w:val="0"/>
          <w:sz w:val="22"/>
          <w:szCs w:val="22"/>
        </w:rPr>
      </w:pPr>
      <w:r w:rsidRPr="00C9399A">
        <w:rPr>
          <w:rFonts w:ascii="Century Schoolbook" w:hAnsi="Century Schoolbook"/>
          <w:i/>
          <w:iCs/>
          <w:kern w:val="0"/>
          <w:sz w:val="22"/>
          <w:szCs w:val="22"/>
        </w:rPr>
        <w:t xml:space="preserve">In vivo </w:t>
      </w:r>
      <w:r w:rsidRPr="00C9399A">
        <w:rPr>
          <w:rFonts w:ascii="Century Schoolbook" w:hAnsi="Century Schoolbook"/>
          <w:kern w:val="0"/>
          <w:sz w:val="22"/>
          <w:szCs w:val="22"/>
        </w:rPr>
        <w:t xml:space="preserve">tests have an important role in </w:t>
      </w:r>
      <w:proofErr w:type="spellStart"/>
      <w:r w:rsidRPr="00C9399A">
        <w:rPr>
          <w:rFonts w:ascii="Century Schoolbook" w:hAnsi="Century Schoolbook"/>
          <w:kern w:val="0"/>
          <w:sz w:val="22"/>
          <w:szCs w:val="22"/>
        </w:rPr>
        <w:t>genotoxicity</w:t>
      </w:r>
      <w:proofErr w:type="spellEnd"/>
      <w:r w:rsidRPr="00C9399A">
        <w:rPr>
          <w:rFonts w:ascii="Century Schoolbook" w:hAnsi="Century Schoolbook"/>
          <w:kern w:val="0"/>
          <w:sz w:val="22"/>
          <w:szCs w:val="22"/>
        </w:rPr>
        <w:t xml:space="preserve"> test strategies.  The value of </w:t>
      </w:r>
      <w:r w:rsidRPr="00C9399A">
        <w:rPr>
          <w:rFonts w:ascii="Century Schoolbook" w:hAnsi="Century Schoolbook"/>
          <w:i/>
          <w:iCs/>
          <w:kern w:val="0"/>
          <w:sz w:val="22"/>
          <w:szCs w:val="22"/>
        </w:rPr>
        <w:t xml:space="preserve">in vivo </w:t>
      </w:r>
      <w:r w:rsidRPr="00C9399A">
        <w:rPr>
          <w:rFonts w:ascii="Century Schoolbook" w:hAnsi="Century Schoolbook"/>
          <w:kern w:val="0"/>
          <w:sz w:val="22"/>
          <w:szCs w:val="22"/>
        </w:rPr>
        <w:t xml:space="preserve">results is directly related to the demonstration of adequate exposure of the target tissue to the test compound.  This is especially true for negative </w:t>
      </w:r>
      <w:r w:rsidRPr="00C9399A">
        <w:rPr>
          <w:rFonts w:ascii="Century Schoolbook" w:hAnsi="Century Schoolbook"/>
          <w:i/>
          <w:iCs/>
          <w:kern w:val="0"/>
          <w:sz w:val="22"/>
          <w:szCs w:val="22"/>
        </w:rPr>
        <w:t xml:space="preserve">in vivo </w:t>
      </w:r>
      <w:r w:rsidRPr="00C9399A">
        <w:rPr>
          <w:rFonts w:ascii="Century Schoolbook" w:hAnsi="Century Schoolbook"/>
          <w:kern w:val="0"/>
          <w:sz w:val="22"/>
          <w:szCs w:val="22"/>
        </w:rPr>
        <w:t xml:space="preserve">test results when </w:t>
      </w:r>
      <w:r w:rsidRPr="00C9399A">
        <w:rPr>
          <w:rFonts w:ascii="Century Schoolbook" w:hAnsi="Century Schoolbook"/>
          <w:i/>
          <w:iCs/>
          <w:kern w:val="0"/>
          <w:sz w:val="22"/>
          <w:szCs w:val="22"/>
        </w:rPr>
        <w:t xml:space="preserve">in vitro </w:t>
      </w:r>
      <w:r w:rsidRPr="00C9399A">
        <w:rPr>
          <w:rFonts w:ascii="Century Schoolbook" w:hAnsi="Century Schoolbook"/>
          <w:kern w:val="0"/>
          <w:sz w:val="22"/>
          <w:szCs w:val="22"/>
        </w:rPr>
        <w:t xml:space="preserve">test(s) have shown convincing evidence of </w:t>
      </w:r>
      <w:proofErr w:type="spellStart"/>
      <w:r w:rsidRPr="00C9399A">
        <w:rPr>
          <w:rFonts w:ascii="Century Schoolbook" w:hAnsi="Century Schoolbook"/>
          <w:kern w:val="0"/>
          <w:sz w:val="22"/>
          <w:szCs w:val="22"/>
        </w:rPr>
        <w:t>genotoxicity</w:t>
      </w:r>
      <w:proofErr w:type="spellEnd"/>
      <w:r w:rsidRPr="00C9399A">
        <w:rPr>
          <w:rFonts w:ascii="Century Schoolbook" w:hAnsi="Century Schoolbook"/>
          <w:kern w:val="0"/>
          <w:sz w:val="22"/>
          <w:szCs w:val="22"/>
        </w:rPr>
        <w:t xml:space="preserve">, or when no </w:t>
      </w:r>
      <w:r w:rsidRPr="00C9399A">
        <w:rPr>
          <w:rFonts w:ascii="Century Schoolbook" w:hAnsi="Century Schoolbook"/>
          <w:i/>
          <w:kern w:val="0"/>
          <w:sz w:val="22"/>
          <w:szCs w:val="22"/>
        </w:rPr>
        <w:t>in vitro</w:t>
      </w:r>
      <w:r w:rsidRPr="00C9399A">
        <w:rPr>
          <w:rFonts w:ascii="Century Schoolbook" w:hAnsi="Century Schoolbook"/>
          <w:kern w:val="0"/>
          <w:sz w:val="22"/>
          <w:szCs w:val="22"/>
        </w:rPr>
        <w:t xml:space="preserve"> mammalian cell assay is used.  Evidence of adequate exposure could include toxicity in the tissue in question, or </w:t>
      </w:r>
      <w:proofErr w:type="spellStart"/>
      <w:r w:rsidRPr="00C9399A">
        <w:rPr>
          <w:rFonts w:ascii="Century Schoolbook" w:hAnsi="Century Schoolbook"/>
          <w:kern w:val="0"/>
          <w:sz w:val="22"/>
          <w:szCs w:val="22"/>
        </w:rPr>
        <w:t>toxicokinetic</w:t>
      </w:r>
      <w:proofErr w:type="spellEnd"/>
      <w:r w:rsidRPr="00C9399A">
        <w:rPr>
          <w:rFonts w:ascii="Century Schoolbook" w:hAnsi="Century Schoolbook"/>
          <w:kern w:val="0"/>
          <w:sz w:val="22"/>
          <w:szCs w:val="22"/>
        </w:rPr>
        <w:t xml:space="preserve"> data as described in the following section.</w:t>
      </w:r>
    </w:p>
    <w:p w:rsidR="001D26BE" w:rsidRPr="008B2ED1" w:rsidRDefault="001D26BE" w:rsidP="008B2ED1">
      <w:pPr>
        <w:pStyle w:val="Heading3"/>
        <w:numPr>
          <w:ilvl w:val="2"/>
          <w:numId w:val="36"/>
        </w:numPr>
        <w:spacing w:before="120"/>
        <w:rPr>
          <w:rFonts w:ascii="Century Schoolbook" w:hAnsi="Century Schoolbook"/>
          <w:bCs w:val="0"/>
          <w:i/>
          <w:kern w:val="0"/>
          <w:sz w:val="22"/>
          <w:szCs w:val="22"/>
        </w:rPr>
      </w:pPr>
      <w:bookmarkStart w:id="68" w:name="_Toc309742197"/>
      <w:bookmarkStart w:id="69" w:name="_Toc309835295"/>
      <w:r w:rsidRPr="008B2ED1">
        <w:rPr>
          <w:rFonts w:ascii="Century Schoolbook" w:hAnsi="Century Schoolbook"/>
          <w:bCs w:val="0"/>
          <w:i/>
          <w:kern w:val="0"/>
          <w:sz w:val="22"/>
          <w:szCs w:val="22"/>
        </w:rPr>
        <w:t xml:space="preserve">When </w:t>
      </w:r>
      <w:r w:rsidR="001303EB" w:rsidRPr="008B2ED1">
        <w:rPr>
          <w:rFonts w:ascii="Century Schoolbook" w:hAnsi="Century Schoolbook"/>
          <w:bCs w:val="0"/>
          <w:i/>
          <w:kern w:val="0"/>
          <w:sz w:val="22"/>
          <w:szCs w:val="22"/>
        </w:rPr>
        <w:t xml:space="preserve">an </w:t>
      </w:r>
      <w:r w:rsidR="001D2B20" w:rsidRPr="001D2B20">
        <w:rPr>
          <w:rFonts w:ascii="Century Schoolbook" w:hAnsi="Century Schoolbook"/>
          <w:bCs w:val="0"/>
          <w:i/>
          <w:kern w:val="0"/>
          <w:sz w:val="22"/>
          <w:szCs w:val="22"/>
        </w:rPr>
        <w:t>In Vitro</w:t>
      </w:r>
      <w:r w:rsidR="001303EB" w:rsidRPr="008B2ED1">
        <w:rPr>
          <w:rFonts w:ascii="Century Schoolbook" w:hAnsi="Century Schoolbook"/>
          <w:bCs w:val="0"/>
          <w:i/>
          <w:kern w:val="0"/>
          <w:sz w:val="22"/>
          <w:szCs w:val="22"/>
        </w:rPr>
        <w:t xml:space="preserve"> </w:t>
      </w:r>
      <w:proofErr w:type="spellStart"/>
      <w:r w:rsidR="001303EB" w:rsidRPr="008B2ED1">
        <w:rPr>
          <w:rFonts w:ascii="Century Schoolbook" w:hAnsi="Century Schoolbook"/>
          <w:bCs w:val="0"/>
          <w:i/>
          <w:kern w:val="0"/>
          <w:sz w:val="22"/>
          <w:szCs w:val="22"/>
        </w:rPr>
        <w:t>Genotoxicity</w:t>
      </w:r>
      <w:proofErr w:type="spellEnd"/>
      <w:r w:rsidR="001303EB" w:rsidRPr="008B2ED1">
        <w:rPr>
          <w:rFonts w:ascii="Century Schoolbook" w:hAnsi="Century Schoolbook"/>
          <w:bCs w:val="0"/>
          <w:i/>
          <w:kern w:val="0"/>
          <w:sz w:val="22"/>
          <w:szCs w:val="22"/>
        </w:rPr>
        <w:t xml:space="preserve"> Test is Positive (or not done)</w:t>
      </w:r>
      <w:bookmarkEnd w:id="68"/>
      <w:bookmarkEnd w:id="69"/>
    </w:p>
    <w:p w:rsidR="001D26BE" w:rsidRPr="00C9399A" w:rsidRDefault="001D26BE" w:rsidP="004A62F4">
      <w:pPr>
        <w:autoSpaceDE w:val="0"/>
        <w:autoSpaceDN w:val="0"/>
        <w:adjustRightInd w:val="0"/>
        <w:spacing w:after="120"/>
        <w:textAlignment w:val="bottom"/>
        <w:rPr>
          <w:rFonts w:ascii="Century Schoolbook" w:hAnsi="Century Schoolbook"/>
          <w:kern w:val="0"/>
          <w:sz w:val="22"/>
          <w:szCs w:val="22"/>
        </w:rPr>
      </w:pPr>
      <w:r w:rsidRPr="00C9399A">
        <w:rPr>
          <w:rFonts w:ascii="Century Schoolbook" w:hAnsi="Century Schoolbook"/>
          <w:kern w:val="0"/>
          <w:sz w:val="22"/>
          <w:szCs w:val="22"/>
        </w:rPr>
        <w:t xml:space="preserve">Assessments of </w:t>
      </w:r>
      <w:r w:rsidRPr="00C9399A">
        <w:rPr>
          <w:rFonts w:ascii="Century Schoolbook" w:hAnsi="Century Schoolbook"/>
          <w:i/>
          <w:kern w:val="0"/>
          <w:sz w:val="22"/>
          <w:szCs w:val="22"/>
        </w:rPr>
        <w:t>in vivo</w:t>
      </w:r>
      <w:r w:rsidRPr="00C9399A">
        <w:rPr>
          <w:rFonts w:ascii="Century Schoolbook" w:hAnsi="Century Schoolbook"/>
          <w:kern w:val="0"/>
          <w:sz w:val="22"/>
          <w:szCs w:val="22"/>
        </w:rPr>
        <w:t xml:space="preserve"> exposure should be made at the top dose or other relevant doses using the same species, strain and dosing route used in the </w:t>
      </w:r>
      <w:proofErr w:type="spellStart"/>
      <w:r w:rsidRPr="00C9399A">
        <w:rPr>
          <w:rFonts w:ascii="Century Schoolbook" w:hAnsi="Century Schoolbook"/>
          <w:kern w:val="0"/>
          <w:sz w:val="22"/>
          <w:szCs w:val="22"/>
        </w:rPr>
        <w:t>genotoxicity</w:t>
      </w:r>
      <w:proofErr w:type="spellEnd"/>
      <w:r w:rsidRPr="00C9399A">
        <w:rPr>
          <w:rFonts w:ascii="Century Schoolbook" w:hAnsi="Century Schoolbook"/>
          <w:kern w:val="0"/>
          <w:sz w:val="22"/>
          <w:szCs w:val="22"/>
        </w:rPr>
        <w:t xml:space="preserve"> assay.  When </w:t>
      </w:r>
      <w:proofErr w:type="spellStart"/>
      <w:r w:rsidRPr="00C9399A">
        <w:rPr>
          <w:rFonts w:ascii="Century Schoolbook" w:hAnsi="Century Schoolbook"/>
          <w:kern w:val="0"/>
          <w:sz w:val="22"/>
          <w:szCs w:val="22"/>
        </w:rPr>
        <w:t>genotoxicity</w:t>
      </w:r>
      <w:proofErr w:type="spellEnd"/>
      <w:r w:rsidRPr="00C9399A">
        <w:rPr>
          <w:rFonts w:ascii="Century Schoolbook" w:hAnsi="Century Schoolbook"/>
          <w:kern w:val="0"/>
          <w:sz w:val="22"/>
          <w:szCs w:val="22"/>
        </w:rPr>
        <w:t xml:space="preserve"> is measured in toxicology assays, exposure information is generally available as part of the toxicology assessment.</w:t>
      </w:r>
    </w:p>
    <w:p w:rsidR="001D26BE" w:rsidRPr="00C9399A" w:rsidRDefault="001D26BE" w:rsidP="004A62F4">
      <w:pPr>
        <w:autoSpaceDE w:val="0"/>
        <w:autoSpaceDN w:val="0"/>
        <w:adjustRightInd w:val="0"/>
        <w:spacing w:after="120"/>
        <w:textAlignment w:val="bottom"/>
        <w:rPr>
          <w:rFonts w:ascii="Century Schoolbook" w:hAnsi="Century Schoolbook"/>
          <w:kern w:val="0"/>
          <w:sz w:val="22"/>
          <w:szCs w:val="22"/>
        </w:rPr>
      </w:pPr>
      <w:r w:rsidRPr="00C9399A">
        <w:rPr>
          <w:rFonts w:ascii="Century Schoolbook" w:hAnsi="Century Schoolbook"/>
          <w:kern w:val="0"/>
          <w:sz w:val="22"/>
          <w:szCs w:val="22"/>
        </w:rPr>
        <w:t xml:space="preserve">Demonstration of </w:t>
      </w:r>
      <w:r w:rsidRPr="00C9399A">
        <w:rPr>
          <w:rFonts w:ascii="Century Schoolbook" w:hAnsi="Century Schoolbook"/>
          <w:i/>
          <w:iCs/>
          <w:kern w:val="0"/>
          <w:sz w:val="22"/>
          <w:szCs w:val="22"/>
        </w:rPr>
        <w:t xml:space="preserve">in vivo </w:t>
      </w:r>
      <w:r w:rsidRPr="00C9399A">
        <w:rPr>
          <w:rFonts w:ascii="Century Schoolbook" w:hAnsi="Century Schoolbook"/>
          <w:kern w:val="0"/>
          <w:sz w:val="22"/>
          <w:szCs w:val="22"/>
        </w:rPr>
        <w:t>exposure should be made by any of the following measurements:</w:t>
      </w:r>
    </w:p>
    <w:p w:rsidR="001D26BE" w:rsidRPr="00C9399A" w:rsidRDefault="001D26BE" w:rsidP="004235DD">
      <w:pPr>
        <w:numPr>
          <w:ilvl w:val="0"/>
          <w:numId w:val="6"/>
        </w:numPr>
        <w:tabs>
          <w:tab w:val="clear" w:pos="1080"/>
          <w:tab w:val="left" w:pos="540"/>
        </w:tabs>
        <w:autoSpaceDE w:val="0"/>
        <w:autoSpaceDN w:val="0"/>
        <w:adjustRightInd w:val="0"/>
        <w:spacing w:after="120"/>
        <w:ind w:left="540"/>
        <w:textAlignment w:val="bottom"/>
        <w:rPr>
          <w:rFonts w:ascii="Century Schoolbook" w:hAnsi="Century Schoolbook"/>
          <w:kern w:val="0"/>
          <w:sz w:val="22"/>
          <w:szCs w:val="22"/>
        </w:rPr>
      </w:pPr>
      <w:proofErr w:type="spellStart"/>
      <w:r w:rsidRPr="00C9399A">
        <w:rPr>
          <w:rFonts w:ascii="Century Schoolbook" w:hAnsi="Century Schoolbook"/>
          <w:kern w:val="0"/>
          <w:sz w:val="22"/>
          <w:szCs w:val="22"/>
        </w:rPr>
        <w:t>Cytotoxicity</w:t>
      </w:r>
      <w:proofErr w:type="spellEnd"/>
      <w:r w:rsidR="00B678D8">
        <w:rPr>
          <w:rFonts w:ascii="Century Schoolbook" w:hAnsi="Century Schoolbook"/>
          <w:kern w:val="0"/>
          <w:sz w:val="22"/>
          <w:szCs w:val="22"/>
        </w:rPr>
        <w:t>:</w:t>
      </w:r>
    </w:p>
    <w:p w:rsidR="001D26BE" w:rsidRPr="00C9399A" w:rsidRDefault="001D26BE" w:rsidP="004235DD">
      <w:pPr>
        <w:numPr>
          <w:ilvl w:val="1"/>
          <w:numId w:val="6"/>
        </w:numPr>
        <w:tabs>
          <w:tab w:val="clear" w:pos="1800"/>
          <w:tab w:val="left" w:pos="720"/>
        </w:tabs>
        <w:autoSpaceDE w:val="0"/>
        <w:autoSpaceDN w:val="0"/>
        <w:adjustRightInd w:val="0"/>
        <w:spacing w:after="120"/>
        <w:ind w:left="810" w:hanging="270"/>
        <w:textAlignment w:val="bottom"/>
        <w:rPr>
          <w:rFonts w:ascii="Century Schoolbook" w:hAnsi="Century Schoolbook"/>
          <w:kern w:val="0"/>
          <w:sz w:val="22"/>
          <w:szCs w:val="22"/>
        </w:rPr>
      </w:pPr>
      <w:r w:rsidRPr="00C9399A">
        <w:rPr>
          <w:rFonts w:ascii="Century Schoolbook" w:hAnsi="Century Schoolbook"/>
          <w:kern w:val="0"/>
          <w:sz w:val="22"/>
          <w:szCs w:val="22"/>
        </w:rPr>
        <w:t>For cytogenetic assays: By obtaining a significant change in the proportion of immature erythrocytes among total erythrocytes in the tissue used (bone marrow or blood) at the doses and sampling times used in the micronucleus test or by measuring a significant reduction in mitotic index for the chromosomal aberration assay.</w:t>
      </w:r>
    </w:p>
    <w:p w:rsidR="001D26BE" w:rsidRPr="00C9399A" w:rsidRDefault="001D26BE" w:rsidP="004235DD">
      <w:pPr>
        <w:numPr>
          <w:ilvl w:val="1"/>
          <w:numId w:val="6"/>
        </w:numPr>
        <w:tabs>
          <w:tab w:val="clear" w:pos="1800"/>
          <w:tab w:val="left" w:pos="720"/>
        </w:tabs>
        <w:autoSpaceDE w:val="0"/>
        <w:autoSpaceDN w:val="0"/>
        <w:adjustRightInd w:val="0"/>
        <w:spacing w:after="120"/>
        <w:ind w:left="810" w:hanging="270"/>
        <w:textAlignment w:val="bottom"/>
        <w:rPr>
          <w:rFonts w:ascii="Century Schoolbook" w:hAnsi="Century Schoolbook"/>
          <w:kern w:val="0"/>
          <w:sz w:val="22"/>
          <w:szCs w:val="22"/>
        </w:rPr>
      </w:pPr>
      <w:r w:rsidRPr="00C9399A">
        <w:rPr>
          <w:rFonts w:ascii="Century Schoolbook" w:hAnsi="Century Schoolbook"/>
          <w:kern w:val="0"/>
          <w:sz w:val="22"/>
          <w:szCs w:val="22"/>
        </w:rPr>
        <w:t xml:space="preserve">For other </w:t>
      </w:r>
      <w:r w:rsidRPr="00C9399A">
        <w:rPr>
          <w:rFonts w:ascii="Century Schoolbook" w:hAnsi="Century Schoolbook"/>
          <w:i/>
          <w:kern w:val="0"/>
          <w:sz w:val="22"/>
          <w:szCs w:val="22"/>
        </w:rPr>
        <w:t>in vivo</w:t>
      </w:r>
      <w:r w:rsidRPr="00C9399A">
        <w:rPr>
          <w:rFonts w:ascii="Century Schoolbook" w:hAnsi="Century Schoolbook"/>
          <w:kern w:val="0"/>
          <w:sz w:val="22"/>
          <w:szCs w:val="22"/>
        </w:rPr>
        <w:t xml:space="preserve"> </w:t>
      </w:r>
      <w:proofErr w:type="spellStart"/>
      <w:r w:rsidRPr="00C9399A">
        <w:rPr>
          <w:rFonts w:ascii="Century Schoolbook" w:hAnsi="Century Schoolbook"/>
          <w:kern w:val="0"/>
          <w:sz w:val="22"/>
          <w:szCs w:val="22"/>
        </w:rPr>
        <w:t>genotoxicity</w:t>
      </w:r>
      <w:proofErr w:type="spellEnd"/>
      <w:r w:rsidRPr="00C9399A">
        <w:rPr>
          <w:rFonts w:ascii="Century Schoolbook" w:hAnsi="Century Schoolbook"/>
          <w:kern w:val="0"/>
          <w:sz w:val="22"/>
          <w:szCs w:val="22"/>
        </w:rPr>
        <w:t xml:space="preserve"> assays:  Toxicity in the liver or tissue being assessed, e.g., by </w:t>
      </w:r>
      <w:proofErr w:type="spellStart"/>
      <w:r w:rsidRPr="00C9399A">
        <w:rPr>
          <w:rFonts w:ascii="Century Schoolbook" w:hAnsi="Century Schoolbook"/>
          <w:kern w:val="0"/>
          <w:sz w:val="22"/>
          <w:szCs w:val="22"/>
        </w:rPr>
        <w:t>histopathological</w:t>
      </w:r>
      <w:proofErr w:type="spellEnd"/>
      <w:r w:rsidRPr="00C9399A">
        <w:rPr>
          <w:rFonts w:ascii="Century Schoolbook" w:hAnsi="Century Schoolbook"/>
          <w:kern w:val="0"/>
          <w:sz w:val="22"/>
          <w:szCs w:val="22"/>
        </w:rPr>
        <w:t xml:space="preserve"> evaluation or blood biochemistry toxicity </w:t>
      </w:r>
      <w:r w:rsidRPr="00C9399A">
        <w:rPr>
          <w:rFonts w:ascii="Century Schoolbook" w:hAnsi="Century Schoolbook"/>
          <w:kern w:val="0"/>
          <w:sz w:val="22"/>
          <w:szCs w:val="22"/>
        </w:rPr>
        <w:lastRenderedPageBreak/>
        <w:t>indicators.</w:t>
      </w:r>
    </w:p>
    <w:p w:rsidR="001D26BE" w:rsidRPr="00C9399A" w:rsidRDefault="001D26BE" w:rsidP="004235DD">
      <w:pPr>
        <w:numPr>
          <w:ilvl w:val="0"/>
          <w:numId w:val="6"/>
        </w:numPr>
        <w:tabs>
          <w:tab w:val="clear" w:pos="1080"/>
          <w:tab w:val="left" w:pos="540"/>
        </w:tabs>
        <w:autoSpaceDE w:val="0"/>
        <w:autoSpaceDN w:val="0"/>
        <w:adjustRightInd w:val="0"/>
        <w:spacing w:after="120"/>
        <w:ind w:left="540"/>
        <w:textAlignment w:val="bottom"/>
        <w:rPr>
          <w:rFonts w:ascii="Century Schoolbook" w:hAnsi="Century Schoolbook"/>
          <w:kern w:val="0"/>
          <w:sz w:val="22"/>
          <w:szCs w:val="22"/>
        </w:rPr>
      </w:pPr>
      <w:r w:rsidRPr="00C9399A">
        <w:rPr>
          <w:rFonts w:ascii="Century Schoolbook" w:hAnsi="Century Schoolbook"/>
          <w:kern w:val="0"/>
          <w:sz w:val="22"/>
          <w:szCs w:val="22"/>
        </w:rPr>
        <w:t>Exposure</w:t>
      </w:r>
      <w:r w:rsidR="00B678D8">
        <w:rPr>
          <w:rFonts w:ascii="Century Schoolbook" w:hAnsi="Century Schoolbook"/>
          <w:kern w:val="0"/>
          <w:sz w:val="22"/>
          <w:szCs w:val="22"/>
        </w:rPr>
        <w:t>:</w:t>
      </w:r>
    </w:p>
    <w:p w:rsidR="001D26BE" w:rsidRPr="00C9399A" w:rsidRDefault="001D26BE" w:rsidP="004235DD">
      <w:pPr>
        <w:numPr>
          <w:ilvl w:val="1"/>
          <w:numId w:val="6"/>
        </w:numPr>
        <w:tabs>
          <w:tab w:val="clear" w:pos="1800"/>
          <w:tab w:val="left" w:pos="720"/>
        </w:tabs>
        <w:autoSpaceDE w:val="0"/>
        <w:autoSpaceDN w:val="0"/>
        <w:adjustRightInd w:val="0"/>
        <w:spacing w:after="120"/>
        <w:ind w:left="810" w:hanging="270"/>
        <w:textAlignment w:val="bottom"/>
        <w:rPr>
          <w:rFonts w:ascii="Century Schoolbook" w:hAnsi="Century Schoolbook"/>
          <w:kern w:val="0"/>
          <w:sz w:val="22"/>
          <w:szCs w:val="22"/>
        </w:rPr>
      </w:pPr>
      <w:r w:rsidRPr="00C9399A">
        <w:rPr>
          <w:rFonts w:ascii="Century Schoolbook" w:hAnsi="Century Schoolbook"/>
          <w:kern w:val="0"/>
          <w:sz w:val="22"/>
          <w:szCs w:val="22"/>
        </w:rPr>
        <w:t xml:space="preserve">Measurement of drug related material either in blood or plasma.  The bone marrow is a well </w:t>
      </w:r>
      <w:proofErr w:type="spellStart"/>
      <w:r w:rsidRPr="00C9399A">
        <w:rPr>
          <w:rFonts w:ascii="Century Schoolbook" w:hAnsi="Century Schoolbook"/>
          <w:kern w:val="0"/>
          <w:sz w:val="22"/>
          <w:szCs w:val="22"/>
        </w:rPr>
        <w:t>perfused</w:t>
      </w:r>
      <w:proofErr w:type="spellEnd"/>
      <w:r w:rsidRPr="00C9399A">
        <w:rPr>
          <w:rFonts w:ascii="Century Schoolbook" w:hAnsi="Century Schoolbook"/>
          <w:kern w:val="0"/>
          <w:sz w:val="22"/>
          <w:szCs w:val="22"/>
        </w:rPr>
        <w:t xml:space="preserve"> tissue and levels of drug related materials in blood or plasma are generally similar to those observed in bone marrow.  The liver is expected to be exposed for drugs with systemic exposure regardless of the route of administration.</w:t>
      </w:r>
    </w:p>
    <w:p w:rsidR="001D26BE" w:rsidRPr="00C9399A" w:rsidRDefault="001D26BE" w:rsidP="004235DD">
      <w:pPr>
        <w:numPr>
          <w:ilvl w:val="1"/>
          <w:numId w:val="6"/>
        </w:numPr>
        <w:tabs>
          <w:tab w:val="clear" w:pos="1800"/>
          <w:tab w:val="left" w:pos="720"/>
        </w:tabs>
        <w:autoSpaceDE w:val="0"/>
        <w:autoSpaceDN w:val="0"/>
        <w:adjustRightInd w:val="0"/>
        <w:spacing w:after="120"/>
        <w:ind w:left="810" w:hanging="270"/>
        <w:textAlignment w:val="bottom"/>
        <w:rPr>
          <w:rFonts w:ascii="Century Schoolbook" w:hAnsi="Century Schoolbook"/>
          <w:kern w:val="0"/>
          <w:sz w:val="22"/>
          <w:szCs w:val="22"/>
        </w:rPr>
      </w:pPr>
      <w:r w:rsidRPr="00C9399A">
        <w:rPr>
          <w:rFonts w:ascii="Century Schoolbook" w:hAnsi="Century Schoolbook"/>
          <w:kern w:val="0"/>
          <w:sz w:val="22"/>
          <w:szCs w:val="22"/>
        </w:rPr>
        <w:t xml:space="preserve">Direct measurement of drug-related material in target tissue, or </w:t>
      </w:r>
      <w:proofErr w:type="spellStart"/>
      <w:r w:rsidRPr="00C9399A">
        <w:rPr>
          <w:rFonts w:ascii="Century Schoolbook" w:hAnsi="Century Schoolbook"/>
          <w:kern w:val="0"/>
          <w:sz w:val="22"/>
          <w:szCs w:val="22"/>
        </w:rPr>
        <w:t>autoradiographic</w:t>
      </w:r>
      <w:proofErr w:type="spellEnd"/>
      <w:r w:rsidRPr="00C9399A">
        <w:rPr>
          <w:rFonts w:ascii="Century Schoolbook" w:hAnsi="Century Schoolbook"/>
          <w:kern w:val="0"/>
          <w:sz w:val="22"/>
          <w:szCs w:val="22"/>
        </w:rPr>
        <w:t xml:space="preserve"> assessment of tissue exposure.</w:t>
      </w:r>
    </w:p>
    <w:p w:rsidR="001D26BE" w:rsidRPr="00C9399A" w:rsidRDefault="001D26BE" w:rsidP="00E44012">
      <w:pPr>
        <w:autoSpaceDE w:val="0"/>
        <w:autoSpaceDN w:val="0"/>
        <w:adjustRightInd w:val="0"/>
        <w:spacing w:after="120"/>
        <w:textAlignment w:val="bottom"/>
        <w:rPr>
          <w:rFonts w:ascii="Century Schoolbook" w:hAnsi="Century Schoolbook"/>
          <w:kern w:val="0"/>
          <w:sz w:val="22"/>
          <w:szCs w:val="22"/>
        </w:rPr>
      </w:pPr>
      <w:r w:rsidRPr="00C9399A">
        <w:rPr>
          <w:rFonts w:ascii="Century Schoolbook" w:hAnsi="Century Schoolbook"/>
          <w:iCs/>
          <w:kern w:val="0"/>
          <w:sz w:val="22"/>
          <w:szCs w:val="22"/>
        </w:rPr>
        <w:t>If</w:t>
      </w:r>
      <w:r w:rsidRPr="00C9399A">
        <w:rPr>
          <w:rFonts w:ascii="Century Schoolbook" w:hAnsi="Century Schoolbook"/>
          <w:kern w:val="0"/>
          <w:sz w:val="22"/>
          <w:szCs w:val="22"/>
        </w:rPr>
        <w:t xml:space="preserve"> systemic exposure is similar to or lower than expected clinical exposure, alternative strategies might be called for such as: </w:t>
      </w:r>
    </w:p>
    <w:p w:rsidR="001D26BE" w:rsidRPr="00C9399A" w:rsidRDefault="001D26BE" w:rsidP="004235DD">
      <w:pPr>
        <w:numPr>
          <w:ilvl w:val="0"/>
          <w:numId w:val="13"/>
        </w:numPr>
        <w:tabs>
          <w:tab w:val="clear" w:pos="720"/>
          <w:tab w:val="left" w:pos="540"/>
        </w:tabs>
        <w:autoSpaceDE w:val="0"/>
        <w:autoSpaceDN w:val="0"/>
        <w:adjustRightInd w:val="0"/>
        <w:spacing w:after="120"/>
        <w:ind w:left="540" w:hanging="360"/>
        <w:textAlignment w:val="bottom"/>
        <w:rPr>
          <w:rFonts w:ascii="Century Schoolbook" w:hAnsi="Century Schoolbook"/>
          <w:kern w:val="0"/>
          <w:sz w:val="22"/>
          <w:szCs w:val="22"/>
        </w:rPr>
      </w:pPr>
      <w:r w:rsidRPr="00C9399A">
        <w:rPr>
          <w:rFonts w:ascii="Century Schoolbook" w:hAnsi="Century Schoolbook"/>
          <w:kern w:val="0"/>
          <w:sz w:val="22"/>
          <w:szCs w:val="22"/>
        </w:rPr>
        <w:t xml:space="preserve">Use of a different route of administration; </w:t>
      </w:r>
    </w:p>
    <w:p w:rsidR="001D26BE" w:rsidRPr="00C9399A" w:rsidRDefault="001D26BE" w:rsidP="004235DD">
      <w:pPr>
        <w:numPr>
          <w:ilvl w:val="0"/>
          <w:numId w:val="13"/>
        </w:numPr>
        <w:tabs>
          <w:tab w:val="clear" w:pos="720"/>
          <w:tab w:val="left" w:pos="540"/>
        </w:tabs>
        <w:autoSpaceDE w:val="0"/>
        <w:autoSpaceDN w:val="0"/>
        <w:adjustRightInd w:val="0"/>
        <w:spacing w:after="120"/>
        <w:ind w:left="540" w:hanging="360"/>
        <w:textAlignment w:val="bottom"/>
        <w:rPr>
          <w:rFonts w:ascii="Century Schoolbook" w:hAnsi="Century Schoolbook"/>
          <w:kern w:val="0"/>
          <w:sz w:val="22"/>
          <w:szCs w:val="22"/>
        </w:rPr>
      </w:pPr>
      <w:r w:rsidRPr="00C9399A">
        <w:rPr>
          <w:rFonts w:ascii="Century Schoolbook" w:hAnsi="Century Schoolbook"/>
          <w:kern w:val="0"/>
          <w:sz w:val="22"/>
          <w:szCs w:val="22"/>
        </w:rPr>
        <w:t xml:space="preserve">Use of a different species with higher exposure; </w:t>
      </w:r>
    </w:p>
    <w:p w:rsidR="001D26BE" w:rsidRPr="00C9399A" w:rsidRDefault="001D26BE" w:rsidP="004235DD">
      <w:pPr>
        <w:numPr>
          <w:ilvl w:val="0"/>
          <w:numId w:val="13"/>
        </w:numPr>
        <w:tabs>
          <w:tab w:val="clear" w:pos="720"/>
          <w:tab w:val="left" w:pos="540"/>
        </w:tabs>
        <w:autoSpaceDE w:val="0"/>
        <w:autoSpaceDN w:val="0"/>
        <w:adjustRightInd w:val="0"/>
        <w:spacing w:after="120"/>
        <w:ind w:left="540" w:hanging="360"/>
        <w:textAlignment w:val="bottom"/>
        <w:rPr>
          <w:rFonts w:ascii="Century Schoolbook" w:hAnsi="Century Schoolbook"/>
          <w:kern w:val="0"/>
          <w:sz w:val="22"/>
          <w:szCs w:val="22"/>
        </w:rPr>
      </w:pPr>
      <w:r w:rsidRPr="00C9399A">
        <w:rPr>
          <w:rFonts w:ascii="Century Schoolbook" w:hAnsi="Century Schoolbook"/>
          <w:kern w:val="0"/>
          <w:sz w:val="22"/>
          <w:szCs w:val="22"/>
        </w:rPr>
        <w:t xml:space="preserve">Use of a different tissue or assay (see </w:t>
      </w:r>
      <w:r w:rsidR="00DB33C4">
        <w:rPr>
          <w:rFonts w:ascii="Century Schoolbook" w:hAnsi="Century Schoolbook"/>
          <w:kern w:val="0"/>
          <w:sz w:val="22"/>
          <w:szCs w:val="22"/>
        </w:rPr>
        <w:t>Section</w:t>
      </w:r>
      <w:r w:rsidRPr="00C9399A">
        <w:rPr>
          <w:rFonts w:ascii="Century Schoolbook" w:hAnsi="Century Schoolbook"/>
          <w:kern w:val="0"/>
          <w:sz w:val="22"/>
          <w:szCs w:val="22"/>
        </w:rPr>
        <w:t xml:space="preserve"> 2.3.4, “Limitations to the use of standard </w:t>
      </w:r>
      <w:r w:rsidRPr="00C9399A">
        <w:rPr>
          <w:rFonts w:ascii="Century Schoolbook" w:hAnsi="Century Schoolbook"/>
          <w:i/>
          <w:kern w:val="0"/>
          <w:sz w:val="22"/>
          <w:szCs w:val="22"/>
        </w:rPr>
        <w:t>in vivo</w:t>
      </w:r>
      <w:r w:rsidRPr="00C9399A">
        <w:rPr>
          <w:rFonts w:ascii="Century Schoolbook" w:hAnsi="Century Schoolbook"/>
          <w:kern w:val="0"/>
          <w:sz w:val="22"/>
          <w:szCs w:val="22"/>
        </w:rPr>
        <w:t xml:space="preserve"> tests”).</w:t>
      </w:r>
    </w:p>
    <w:p w:rsidR="001D26BE" w:rsidRPr="00C9399A" w:rsidRDefault="001D26BE" w:rsidP="004A62F4">
      <w:pPr>
        <w:autoSpaceDE w:val="0"/>
        <w:autoSpaceDN w:val="0"/>
        <w:adjustRightInd w:val="0"/>
        <w:spacing w:after="120"/>
        <w:textAlignment w:val="bottom"/>
        <w:rPr>
          <w:rFonts w:ascii="Century Schoolbook" w:hAnsi="Century Schoolbook"/>
          <w:kern w:val="0"/>
          <w:sz w:val="22"/>
          <w:szCs w:val="22"/>
        </w:rPr>
      </w:pPr>
      <w:r w:rsidRPr="00C9399A">
        <w:rPr>
          <w:rFonts w:ascii="Century Schoolbook" w:hAnsi="Century Schoolbook"/>
          <w:kern w:val="0"/>
          <w:sz w:val="22"/>
          <w:szCs w:val="22"/>
        </w:rPr>
        <w:t xml:space="preserve">When adequate exposure cannot be achieved (e.g., with compounds showing very poor target tissue availability) conventional </w:t>
      </w:r>
      <w:r w:rsidRPr="00C9399A">
        <w:rPr>
          <w:rFonts w:ascii="Century Schoolbook" w:hAnsi="Century Schoolbook"/>
          <w:i/>
          <w:iCs/>
          <w:kern w:val="0"/>
          <w:sz w:val="22"/>
          <w:szCs w:val="22"/>
        </w:rPr>
        <w:t xml:space="preserve">in vivo </w:t>
      </w:r>
      <w:proofErr w:type="spellStart"/>
      <w:r w:rsidRPr="00C9399A">
        <w:rPr>
          <w:rFonts w:ascii="Century Schoolbook" w:hAnsi="Century Schoolbook"/>
          <w:kern w:val="0"/>
          <w:sz w:val="22"/>
          <w:szCs w:val="22"/>
        </w:rPr>
        <w:t>genotoxicity</w:t>
      </w:r>
      <w:proofErr w:type="spellEnd"/>
      <w:r w:rsidRPr="00C9399A">
        <w:rPr>
          <w:rFonts w:ascii="Century Schoolbook" w:hAnsi="Century Schoolbook"/>
          <w:kern w:val="0"/>
          <w:sz w:val="22"/>
          <w:szCs w:val="22"/>
        </w:rPr>
        <w:t xml:space="preserve"> tests have little value.</w:t>
      </w:r>
    </w:p>
    <w:p w:rsidR="001D26BE" w:rsidRPr="008B2ED1" w:rsidRDefault="001D26BE" w:rsidP="008B2ED1">
      <w:pPr>
        <w:pStyle w:val="Heading3"/>
        <w:numPr>
          <w:ilvl w:val="2"/>
          <w:numId w:val="36"/>
        </w:numPr>
        <w:spacing w:before="120"/>
        <w:rPr>
          <w:rFonts w:ascii="Century Schoolbook" w:hAnsi="Century Schoolbook"/>
          <w:bCs w:val="0"/>
          <w:i/>
          <w:kern w:val="0"/>
          <w:sz w:val="22"/>
          <w:szCs w:val="22"/>
        </w:rPr>
      </w:pPr>
      <w:bookmarkStart w:id="70" w:name="_Toc309742198"/>
      <w:bookmarkStart w:id="71" w:name="_Toc309835296"/>
      <w:r w:rsidRPr="008B2ED1">
        <w:rPr>
          <w:rFonts w:ascii="Century Schoolbook" w:hAnsi="Century Schoolbook"/>
          <w:bCs w:val="0"/>
          <w:i/>
          <w:kern w:val="0"/>
          <w:sz w:val="22"/>
          <w:szCs w:val="22"/>
        </w:rPr>
        <w:t xml:space="preserve">When </w:t>
      </w:r>
      <w:proofErr w:type="gramStart"/>
      <w:r w:rsidR="001D2B20" w:rsidRPr="001D2B20">
        <w:rPr>
          <w:rFonts w:ascii="Century Schoolbook" w:hAnsi="Century Schoolbook"/>
          <w:bCs w:val="0"/>
          <w:i/>
          <w:kern w:val="0"/>
          <w:sz w:val="22"/>
          <w:szCs w:val="22"/>
        </w:rPr>
        <w:t>In</w:t>
      </w:r>
      <w:proofErr w:type="gramEnd"/>
      <w:r w:rsidR="001D2B20" w:rsidRPr="001D2B20">
        <w:rPr>
          <w:rFonts w:ascii="Century Schoolbook" w:hAnsi="Century Schoolbook"/>
          <w:bCs w:val="0"/>
          <w:i/>
          <w:kern w:val="0"/>
          <w:sz w:val="22"/>
          <w:szCs w:val="22"/>
        </w:rPr>
        <w:t xml:space="preserve"> Vitro</w:t>
      </w:r>
      <w:r w:rsidR="001303EB" w:rsidRPr="008B2ED1">
        <w:rPr>
          <w:rFonts w:ascii="Century Schoolbook" w:hAnsi="Century Schoolbook"/>
          <w:bCs w:val="0"/>
          <w:i/>
          <w:kern w:val="0"/>
          <w:sz w:val="22"/>
          <w:szCs w:val="22"/>
        </w:rPr>
        <w:t xml:space="preserve"> </w:t>
      </w:r>
      <w:proofErr w:type="spellStart"/>
      <w:r w:rsidR="001303EB" w:rsidRPr="008B2ED1">
        <w:rPr>
          <w:rFonts w:ascii="Century Schoolbook" w:hAnsi="Century Schoolbook"/>
          <w:bCs w:val="0"/>
          <w:i/>
          <w:kern w:val="0"/>
          <w:sz w:val="22"/>
          <w:szCs w:val="22"/>
        </w:rPr>
        <w:t>Genotoxicity</w:t>
      </w:r>
      <w:proofErr w:type="spellEnd"/>
      <w:r w:rsidR="001303EB" w:rsidRPr="008B2ED1">
        <w:rPr>
          <w:rFonts w:ascii="Century Schoolbook" w:hAnsi="Century Schoolbook"/>
          <w:bCs w:val="0"/>
          <w:i/>
          <w:kern w:val="0"/>
          <w:sz w:val="22"/>
          <w:szCs w:val="22"/>
        </w:rPr>
        <w:t xml:space="preserve"> Tests are Negative</w:t>
      </w:r>
      <w:bookmarkEnd w:id="70"/>
      <w:bookmarkEnd w:id="71"/>
    </w:p>
    <w:p w:rsidR="001D26BE" w:rsidRPr="00C9399A" w:rsidRDefault="001D26BE" w:rsidP="004A62F4">
      <w:pPr>
        <w:autoSpaceDE w:val="0"/>
        <w:autoSpaceDN w:val="0"/>
        <w:adjustRightInd w:val="0"/>
        <w:spacing w:after="120"/>
        <w:textAlignment w:val="bottom"/>
        <w:rPr>
          <w:rFonts w:ascii="Century Schoolbook" w:hAnsi="Century Schoolbook"/>
          <w:kern w:val="0"/>
          <w:sz w:val="22"/>
          <w:szCs w:val="22"/>
        </w:rPr>
      </w:pPr>
      <w:r w:rsidRPr="00C9399A">
        <w:rPr>
          <w:rFonts w:ascii="Century Schoolbook" w:hAnsi="Century Schoolbook"/>
          <w:kern w:val="0"/>
          <w:sz w:val="22"/>
          <w:szCs w:val="22"/>
        </w:rPr>
        <w:t xml:space="preserve">If </w:t>
      </w:r>
      <w:r w:rsidRPr="00C9399A">
        <w:rPr>
          <w:rFonts w:ascii="Century Schoolbook" w:hAnsi="Century Schoolbook"/>
          <w:i/>
          <w:iCs/>
          <w:kern w:val="0"/>
          <w:sz w:val="22"/>
          <w:szCs w:val="22"/>
        </w:rPr>
        <w:t xml:space="preserve">in vitro </w:t>
      </w:r>
      <w:r w:rsidRPr="00C9399A">
        <w:rPr>
          <w:rFonts w:ascii="Century Schoolbook" w:hAnsi="Century Schoolbook"/>
          <w:kern w:val="0"/>
          <w:sz w:val="22"/>
          <w:szCs w:val="22"/>
        </w:rPr>
        <w:t xml:space="preserve">tests do not show </w:t>
      </w:r>
      <w:proofErr w:type="spellStart"/>
      <w:r w:rsidRPr="00C9399A">
        <w:rPr>
          <w:rFonts w:ascii="Century Schoolbook" w:hAnsi="Century Schoolbook"/>
          <w:kern w:val="0"/>
          <w:sz w:val="22"/>
          <w:szCs w:val="22"/>
        </w:rPr>
        <w:t>genotoxic</w:t>
      </w:r>
      <w:proofErr w:type="spellEnd"/>
      <w:r w:rsidRPr="00C9399A">
        <w:rPr>
          <w:rFonts w:ascii="Century Schoolbook" w:hAnsi="Century Schoolbook"/>
          <w:kern w:val="0"/>
          <w:sz w:val="22"/>
          <w:szCs w:val="22"/>
        </w:rPr>
        <w:t xml:space="preserve"> potential, </w:t>
      </w:r>
      <w:r w:rsidRPr="00C9399A">
        <w:rPr>
          <w:rFonts w:ascii="Century Schoolbook" w:hAnsi="Century Schoolbook"/>
          <w:i/>
          <w:iCs/>
          <w:kern w:val="0"/>
          <w:sz w:val="22"/>
          <w:szCs w:val="22"/>
        </w:rPr>
        <w:t xml:space="preserve">in vivo </w:t>
      </w:r>
      <w:r w:rsidRPr="00C9399A">
        <w:rPr>
          <w:rFonts w:ascii="Century Schoolbook" w:hAnsi="Century Schoolbook"/>
          <w:kern w:val="0"/>
          <w:sz w:val="22"/>
          <w:szCs w:val="22"/>
        </w:rPr>
        <w:t xml:space="preserve">(systemic) exposure can be assessed by any of the methods above, or can be assumed from the results of standard </w:t>
      </w:r>
      <w:r w:rsidR="00B678D8">
        <w:rPr>
          <w:rFonts w:ascii="Century Schoolbook" w:hAnsi="Century Schoolbook"/>
          <w:kern w:val="0"/>
          <w:sz w:val="22"/>
          <w:szCs w:val="22"/>
        </w:rPr>
        <w:t>A</w:t>
      </w:r>
      <w:r w:rsidRPr="00C9399A">
        <w:rPr>
          <w:rFonts w:ascii="Century Schoolbook" w:hAnsi="Century Schoolbook"/>
          <w:kern w:val="0"/>
          <w:sz w:val="22"/>
          <w:szCs w:val="22"/>
        </w:rPr>
        <w:t xml:space="preserve">bsorption, </w:t>
      </w:r>
      <w:r w:rsidR="00B678D8">
        <w:rPr>
          <w:rFonts w:ascii="Century Schoolbook" w:hAnsi="Century Schoolbook"/>
          <w:kern w:val="0"/>
          <w:sz w:val="22"/>
          <w:szCs w:val="22"/>
        </w:rPr>
        <w:t>D</w:t>
      </w:r>
      <w:r w:rsidRPr="00C9399A">
        <w:rPr>
          <w:rFonts w:ascii="Century Schoolbook" w:hAnsi="Century Schoolbook"/>
          <w:kern w:val="0"/>
          <w:sz w:val="22"/>
          <w:szCs w:val="22"/>
        </w:rPr>
        <w:t xml:space="preserve">istribution, </w:t>
      </w:r>
      <w:r w:rsidR="00B678D8">
        <w:rPr>
          <w:rFonts w:ascii="Century Schoolbook" w:hAnsi="Century Schoolbook"/>
          <w:kern w:val="0"/>
          <w:sz w:val="22"/>
          <w:szCs w:val="22"/>
        </w:rPr>
        <w:t>M</w:t>
      </w:r>
      <w:r w:rsidRPr="00C9399A">
        <w:rPr>
          <w:rFonts w:ascii="Century Schoolbook" w:hAnsi="Century Schoolbook"/>
          <w:kern w:val="0"/>
          <w:sz w:val="22"/>
          <w:szCs w:val="22"/>
        </w:rPr>
        <w:t xml:space="preserve">etabolism and </w:t>
      </w:r>
      <w:r w:rsidR="00B678D8">
        <w:rPr>
          <w:rFonts w:ascii="Century Schoolbook" w:hAnsi="Century Schoolbook"/>
          <w:kern w:val="0"/>
          <w:sz w:val="22"/>
          <w:szCs w:val="22"/>
        </w:rPr>
        <w:t>E</w:t>
      </w:r>
      <w:r w:rsidRPr="00C9399A">
        <w:rPr>
          <w:rFonts w:ascii="Century Schoolbook" w:hAnsi="Century Schoolbook"/>
          <w:kern w:val="0"/>
          <w:sz w:val="22"/>
          <w:szCs w:val="22"/>
        </w:rPr>
        <w:t>xcretion (ADME) studies in rodents done for other purposes.</w:t>
      </w:r>
    </w:p>
    <w:p w:rsidR="001D26BE" w:rsidRPr="0078046D" w:rsidRDefault="001D26BE" w:rsidP="00AA186A">
      <w:pPr>
        <w:pStyle w:val="Heading2"/>
        <w:numPr>
          <w:ilvl w:val="1"/>
          <w:numId w:val="36"/>
        </w:numPr>
        <w:spacing w:before="180" w:after="120"/>
        <w:ind w:left="720" w:hanging="720"/>
        <w:rPr>
          <w:rFonts w:ascii="Century Schoolbook" w:hAnsi="Century Schoolbook"/>
          <w:bCs w:val="0"/>
          <w:i w:val="0"/>
          <w:kern w:val="0"/>
          <w:sz w:val="22"/>
          <w:szCs w:val="22"/>
        </w:rPr>
      </w:pPr>
      <w:bookmarkStart w:id="72" w:name="_Toc309742199"/>
      <w:bookmarkStart w:id="73" w:name="_Toc309835297"/>
      <w:r w:rsidRPr="0078046D">
        <w:rPr>
          <w:rFonts w:ascii="Century Schoolbook" w:hAnsi="Century Schoolbook"/>
          <w:bCs w:val="0"/>
          <w:i w:val="0"/>
          <w:kern w:val="0"/>
          <w:sz w:val="22"/>
          <w:szCs w:val="22"/>
        </w:rPr>
        <w:t xml:space="preserve">Sampling </w:t>
      </w:r>
      <w:r w:rsidR="001303EB" w:rsidRPr="0078046D">
        <w:rPr>
          <w:rFonts w:ascii="Century Schoolbook" w:hAnsi="Century Schoolbook"/>
          <w:bCs w:val="0"/>
          <w:i w:val="0"/>
          <w:kern w:val="0"/>
          <w:sz w:val="22"/>
          <w:szCs w:val="22"/>
        </w:rPr>
        <w:t xml:space="preserve">Times for </w:t>
      </w:r>
      <w:r w:rsidR="001D2B20" w:rsidRPr="001D2B20">
        <w:rPr>
          <w:rFonts w:ascii="Century Schoolbook" w:hAnsi="Century Schoolbook"/>
          <w:bCs w:val="0"/>
          <w:kern w:val="0"/>
          <w:sz w:val="22"/>
          <w:szCs w:val="22"/>
        </w:rPr>
        <w:t>In Vivo</w:t>
      </w:r>
      <w:r w:rsidR="001303EB" w:rsidRPr="0078046D">
        <w:rPr>
          <w:rFonts w:ascii="Century Schoolbook" w:hAnsi="Century Schoolbook"/>
          <w:bCs w:val="0"/>
          <w:i w:val="0"/>
          <w:kern w:val="0"/>
          <w:sz w:val="22"/>
          <w:szCs w:val="22"/>
        </w:rPr>
        <w:t xml:space="preserve"> Assays</w:t>
      </w:r>
      <w:bookmarkEnd w:id="72"/>
      <w:bookmarkEnd w:id="73"/>
    </w:p>
    <w:p w:rsidR="001D26BE" w:rsidRPr="00C9399A" w:rsidRDefault="001D26BE" w:rsidP="004A62F4">
      <w:pPr>
        <w:autoSpaceDE w:val="0"/>
        <w:autoSpaceDN w:val="0"/>
        <w:adjustRightInd w:val="0"/>
        <w:spacing w:after="120"/>
        <w:textAlignment w:val="bottom"/>
        <w:rPr>
          <w:rFonts w:ascii="Century Schoolbook" w:hAnsi="Century Schoolbook"/>
          <w:bCs/>
          <w:kern w:val="0"/>
          <w:sz w:val="22"/>
          <w:szCs w:val="22"/>
        </w:rPr>
      </w:pPr>
      <w:r w:rsidRPr="00C9399A">
        <w:rPr>
          <w:rFonts w:ascii="Century Schoolbook" w:hAnsi="Century Schoolbook"/>
          <w:bCs/>
          <w:kern w:val="0"/>
          <w:sz w:val="22"/>
          <w:szCs w:val="22"/>
        </w:rPr>
        <w:t xml:space="preserve">Selection of the sampling time in the </w:t>
      </w:r>
      <w:r w:rsidRPr="00C9399A">
        <w:rPr>
          <w:rFonts w:ascii="Century Schoolbook" w:hAnsi="Century Schoolbook"/>
          <w:bCs/>
          <w:i/>
          <w:kern w:val="0"/>
          <w:sz w:val="22"/>
          <w:szCs w:val="22"/>
        </w:rPr>
        <w:t>in vivo</w:t>
      </w:r>
      <w:r w:rsidRPr="00C9399A">
        <w:rPr>
          <w:rFonts w:ascii="Century Schoolbook" w:hAnsi="Century Schoolbook"/>
          <w:bCs/>
          <w:kern w:val="0"/>
          <w:sz w:val="22"/>
          <w:szCs w:val="22"/>
        </w:rPr>
        <w:t xml:space="preserve"> </w:t>
      </w:r>
      <w:r w:rsidR="008122D2">
        <w:rPr>
          <w:rFonts w:ascii="Century Schoolbook" w:hAnsi="Century Schoolbook"/>
          <w:bCs/>
          <w:kern w:val="0"/>
          <w:sz w:val="22"/>
          <w:szCs w:val="22"/>
        </w:rPr>
        <w:t>M</w:t>
      </w:r>
      <w:r w:rsidR="008122D2" w:rsidRPr="008122D2">
        <w:rPr>
          <w:rFonts w:ascii="Century Schoolbook" w:hAnsi="Century Schoolbook"/>
          <w:bCs/>
          <w:kern w:val="0"/>
          <w:sz w:val="22"/>
          <w:szCs w:val="22"/>
        </w:rPr>
        <w:t>icro</w:t>
      </w:r>
      <w:r w:rsidR="008122D2">
        <w:rPr>
          <w:rFonts w:ascii="Century Schoolbook" w:hAnsi="Century Schoolbook"/>
          <w:bCs/>
          <w:kern w:val="0"/>
          <w:sz w:val="22"/>
          <w:szCs w:val="22"/>
        </w:rPr>
        <w:t>n</w:t>
      </w:r>
      <w:r w:rsidR="008122D2" w:rsidRPr="008122D2">
        <w:rPr>
          <w:rFonts w:ascii="Century Schoolbook" w:hAnsi="Century Schoolbook"/>
          <w:bCs/>
          <w:kern w:val="0"/>
          <w:sz w:val="22"/>
          <w:szCs w:val="22"/>
        </w:rPr>
        <w:t>ucleus</w:t>
      </w:r>
      <w:r w:rsidR="008122D2">
        <w:rPr>
          <w:rFonts w:ascii="Century Schoolbook" w:hAnsi="Century Schoolbook"/>
          <w:bCs/>
          <w:kern w:val="0"/>
          <w:sz w:val="22"/>
          <w:szCs w:val="22"/>
        </w:rPr>
        <w:t xml:space="preserve"> (</w:t>
      </w:r>
      <w:r w:rsidRPr="00C9399A">
        <w:rPr>
          <w:rFonts w:ascii="Century Schoolbook" w:hAnsi="Century Schoolbook"/>
          <w:bCs/>
          <w:kern w:val="0"/>
          <w:sz w:val="22"/>
          <w:szCs w:val="22"/>
        </w:rPr>
        <w:t>MN</w:t>
      </w:r>
      <w:r w:rsidR="008122D2">
        <w:rPr>
          <w:rFonts w:ascii="Century Schoolbook" w:hAnsi="Century Schoolbook"/>
          <w:bCs/>
          <w:kern w:val="0"/>
          <w:sz w:val="22"/>
          <w:szCs w:val="22"/>
        </w:rPr>
        <w:t>)</w:t>
      </w:r>
      <w:r w:rsidRPr="00C9399A">
        <w:rPr>
          <w:rFonts w:ascii="Century Schoolbook" w:hAnsi="Century Schoolbook"/>
          <w:bCs/>
          <w:kern w:val="0"/>
          <w:sz w:val="22"/>
          <w:szCs w:val="22"/>
        </w:rPr>
        <w:t>, chromosomal aberration and UDS test should follow OECD (1997).</w:t>
      </w:r>
    </w:p>
    <w:p w:rsidR="001D26BE" w:rsidRPr="00C9399A" w:rsidRDefault="001D26BE" w:rsidP="00E44012">
      <w:pPr>
        <w:autoSpaceDE w:val="0"/>
        <w:autoSpaceDN w:val="0"/>
        <w:adjustRightInd w:val="0"/>
        <w:spacing w:after="120"/>
        <w:textAlignment w:val="bottom"/>
        <w:rPr>
          <w:rFonts w:ascii="Century Schoolbook" w:hAnsi="Century Schoolbook"/>
          <w:kern w:val="0"/>
          <w:sz w:val="22"/>
          <w:szCs w:val="22"/>
        </w:rPr>
      </w:pPr>
      <w:r w:rsidRPr="00C9399A">
        <w:rPr>
          <w:rFonts w:ascii="Century Schoolbook" w:hAnsi="Century Schoolbook"/>
          <w:kern w:val="0"/>
          <w:sz w:val="22"/>
          <w:szCs w:val="22"/>
        </w:rPr>
        <w:t>When micronucleus analysis is integrated into multi-week studies, sampling of blood or bone marrow can be done the day after the final administration (see recommendation for additional blood sampling time above).</w:t>
      </w:r>
    </w:p>
    <w:p w:rsidR="001D26BE" w:rsidRPr="00C9399A" w:rsidRDefault="001D26BE" w:rsidP="00E44012">
      <w:pPr>
        <w:autoSpaceDE w:val="0"/>
        <w:autoSpaceDN w:val="0"/>
        <w:adjustRightInd w:val="0"/>
        <w:spacing w:after="120"/>
        <w:textAlignment w:val="bottom"/>
        <w:rPr>
          <w:rFonts w:ascii="Century Schoolbook" w:hAnsi="Century Schoolbook"/>
          <w:kern w:val="0"/>
          <w:sz w:val="22"/>
          <w:szCs w:val="22"/>
        </w:rPr>
      </w:pPr>
      <w:r w:rsidRPr="00C9399A">
        <w:rPr>
          <w:rFonts w:ascii="Century Schoolbook" w:hAnsi="Century Schoolbook"/>
          <w:kern w:val="0"/>
          <w:sz w:val="22"/>
          <w:szCs w:val="22"/>
        </w:rPr>
        <w:t xml:space="preserve">For other </w:t>
      </w:r>
      <w:proofErr w:type="spellStart"/>
      <w:r w:rsidRPr="00C9399A">
        <w:rPr>
          <w:rFonts w:ascii="Century Schoolbook" w:hAnsi="Century Schoolbook"/>
          <w:kern w:val="0"/>
          <w:sz w:val="22"/>
          <w:szCs w:val="22"/>
        </w:rPr>
        <w:t>genotoxicity</w:t>
      </w:r>
      <w:proofErr w:type="spellEnd"/>
      <w:r w:rsidRPr="00C9399A">
        <w:rPr>
          <w:rFonts w:ascii="Century Schoolbook" w:hAnsi="Century Schoolbook"/>
          <w:kern w:val="0"/>
          <w:sz w:val="22"/>
          <w:szCs w:val="22"/>
        </w:rPr>
        <w:t xml:space="preserve"> assays, sampling time should be selected as appropriate for the endpoint measured; for example, DNA damage/strand break measurements are usually made a few (e.g., 2-6) hours after the last administration for the multiple daily administration.  In the case of single administration, two sampling times should be used: a few hours and 24 hours after the treatment.</w:t>
      </w:r>
    </w:p>
    <w:p w:rsidR="001D26BE" w:rsidRPr="00C9399A" w:rsidRDefault="001D26BE" w:rsidP="00E44012">
      <w:pPr>
        <w:autoSpaceDE w:val="0"/>
        <w:autoSpaceDN w:val="0"/>
        <w:adjustRightInd w:val="0"/>
        <w:spacing w:after="120"/>
        <w:textAlignment w:val="bottom"/>
        <w:rPr>
          <w:rFonts w:ascii="Century Schoolbook" w:hAnsi="Century Schoolbook"/>
          <w:kern w:val="0"/>
          <w:sz w:val="22"/>
          <w:szCs w:val="22"/>
        </w:rPr>
      </w:pPr>
      <w:r w:rsidRPr="00C9399A">
        <w:rPr>
          <w:rFonts w:ascii="Century Schoolbook" w:hAnsi="Century Schoolbook"/>
          <w:kern w:val="0"/>
          <w:sz w:val="22"/>
          <w:szCs w:val="22"/>
        </w:rPr>
        <w:t>In principle, studies of any length can be considered appropriate, provided the top dose/exposure is adequate.</w:t>
      </w:r>
    </w:p>
    <w:p w:rsidR="001D26BE" w:rsidRPr="0078046D" w:rsidRDefault="001D26BE" w:rsidP="00AA186A">
      <w:pPr>
        <w:pStyle w:val="Heading2"/>
        <w:numPr>
          <w:ilvl w:val="1"/>
          <w:numId w:val="36"/>
        </w:numPr>
        <w:spacing w:before="180" w:after="120"/>
        <w:ind w:left="720" w:hanging="720"/>
        <w:rPr>
          <w:rFonts w:ascii="Century Schoolbook" w:hAnsi="Century Schoolbook"/>
          <w:i w:val="0"/>
          <w:kern w:val="0"/>
          <w:sz w:val="22"/>
          <w:szCs w:val="22"/>
        </w:rPr>
      </w:pPr>
      <w:bookmarkStart w:id="74" w:name="_Toc309742200"/>
      <w:bookmarkStart w:id="75" w:name="_Toc309835298"/>
      <w:r w:rsidRPr="0078046D">
        <w:rPr>
          <w:rFonts w:ascii="Century Schoolbook" w:hAnsi="Century Schoolbook"/>
          <w:i w:val="0"/>
          <w:kern w:val="0"/>
          <w:sz w:val="22"/>
          <w:szCs w:val="22"/>
        </w:rPr>
        <w:t xml:space="preserve">Number </w:t>
      </w:r>
      <w:r w:rsidR="001303EB" w:rsidRPr="0078046D">
        <w:rPr>
          <w:rFonts w:ascii="Century Schoolbook" w:hAnsi="Century Schoolbook"/>
          <w:i w:val="0"/>
          <w:kern w:val="0"/>
          <w:sz w:val="22"/>
          <w:szCs w:val="22"/>
        </w:rPr>
        <w:t>of Animals Analyzed</w:t>
      </w:r>
      <w:bookmarkEnd w:id="74"/>
      <w:bookmarkEnd w:id="75"/>
      <w:r w:rsidR="001303EB" w:rsidRPr="0078046D">
        <w:rPr>
          <w:rFonts w:ascii="Century Schoolbook" w:hAnsi="Century Schoolbook"/>
          <w:i w:val="0"/>
          <w:kern w:val="0"/>
          <w:sz w:val="22"/>
          <w:szCs w:val="22"/>
        </w:rPr>
        <w:t xml:space="preserve"> </w:t>
      </w:r>
    </w:p>
    <w:p w:rsidR="001D26BE" w:rsidRPr="00C9399A" w:rsidRDefault="001D26BE" w:rsidP="00E44012">
      <w:pPr>
        <w:autoSpaceDE w:val="0"/>
        <w:autoSpaceDN w:val="0"/>
        <w:adjustRightInd w:val="0"/>
        <w:spacing w:after="120"/>
        <w:textAlignment w:val="bottom"/>
        <w:rPr>
          <w:rFonts w:ascii="Century Schoolbook" w:hAnsi="Century Schoolbook"/>
          <w:kern w:val="0"/>
          <w:sz w:val="22"/>
          <w:szCs w:val="22"/>
        </w:rPr>
      </w:pPr>
      <w:r w:rsidRPr="00C9399A">
        <w:rPr>
          <w:rFonts w:ascii="Century Schoolbook" w:hAnsi="Century Schoolbook"/>
          <w:kern w:val="0"/>
          <w:sz w:val="22"/>
          <w:szCs w:val="22"/>
        </w:rPr>
        <w:t xml:space="preserve">The number of animals analyzed is determined by current recommendations for the micronucleus assay (OECD) or other </w:t>
      </w:r>
      <w:proofErr w:type="spellStart"/>
      <w:r w:rsidRPr="00C9399A">
        <w:rPr>
          <w:rFonts w:ascii="Century Schoolbook" w:hAnsi="Century Schoolbook"/>
          <w:kern w:val="0"/>
          <w:sz w:val="22"/>
          <w:szCs w:val="22"/>
        </w:rPr>
        <w:t>genotoxicity</w:t>
      </w:r>
      <w:proofErr w:type="spellEnd"/>
      <w:r w:rsidRPr="00C9399A">
        <w:rPr>
          <w:rFonts w:ascii="Century Schoolbook" w:hAnsi="Century Schoolbook"/>
          <w:kern w:val="0"/>
          <w:sz w:val="22"/>
          <w:szCs w:val="22"/>
        </w:rPr>
        <w:t xml:space="preserve"> assays and generally does not include all the animals treated for a toxicology study.  Animals used for </w:t>
      </w:r>
      <w:proofErr w:type="spellStart"/>
      <w:r w:rsidRPr="00C9399A">
        <w:rPr>
          <w:rFonts w:ascii="Century Schoolbook" w:hAnsi="Century Schoolbook"/>
          <w:kern w:val="0"/>
          <w:sz w:val="22"/>
          <w:szCs w:val="22"/>
        </w:rPr>
        <w:t>genotoxicity</w:t>
      </w:r>
      <w:proofErr w:type="spellEnd"/>
      <w:r w:rsidRPr="00C9399A">
        <w:rPr>
          <w:rFonts w:ascii="Century Schoolbook" w:hAnsi="Century Schoolbook"/>
          <w:kern w:val="0"/>
          <w:sz w:val="22"/>
          <w:szCs w:val="22"/>
        </w:rPr>
        <w:t xml:space="preserve"> analyses should be randomly selected from the group used for the toxicology study.</w:t>
      </w:r>
    </w:p>
    <w:p w:rsidR="001D26BE" w:rsidRPr="0078046D" w:rsidRDefault="001D26BE" w:rsidP="00AA186A">
      <w:pPr>
        <w:pStyle w:val="Heading2"/>
        <w:numPr>
          <w:ilvl w:val="1"/>
          <w:numId w:val="36"/>
        </w:numPr>
        <w:spacing w:before="180" w:after="120"/>
        <w:ind w:left="720" w:hanging="720"/>
        <w:rPr>
          <w:rFonts w:ascii="Century Schoolbook" w:hAnsi="Century Schoolbook"/>
          <w:bCs w:val="0"/>
          <w:i w:val="0"/>
          <w:kern w:val="0"/>
          <w:sz w:val="22"/>
          <w:szCs w:val="22"/>
        </w:rPr>
      </w:pPr>
      <w:bookmarkStart w:id="76" w:name="_Toc309742201"/>
      <w:bookmarkStart w:id="77" w:name="_Toc309835299"/>
      <w:bookmarkStart w:id="78" w:name="OLE_LINK10"/>
      <w:bookmarkStart w:id="79" w:name="OLE_LINK14"/>
      <w:r w:rsidRPr="0078046D">
        <w:rPr>
          <w:rFonts w:ascii="Century Schoolbook" w:hAnsi="Century Schoolbook"/>
          <w:bCs w:val="0"/>
          <w:i w:val="0"/>
          <w:kern w:val="0"/>
          <w:sz w:val="22"/>
          <w:szCs w:val="22"/>
        </w:rPr>
        <w:t xml:space="preserve">Use </w:t>
      </w:r>
      <w:r w:rsidR="001303EB" w:rsidRPr="0078046D">
        <w:rPr>
          <w:rFonts w:ascii="Century Schoolbook" w:hAnsi="Century Schoolbook"/>
          <w:bCs w:val="0"/>
          <w:i w:val="0"/>
          <w:kern w:val="0"/>
          <w:sz w:val="22"/>
          <w:szCs w:val="22"/>
        </w:rPr>
        <w:t xml:space="preserve">of Male/Female Rodents in </w:t>
      </w:r>
      <w:proofErr w:type="spellStart"/>
      <w:r w:rsidR="001D2B20" w:rsidRPr="001D2B20">
        <w:rPr>
          <w:rFonts w:ascii="Century Schoolbook" w:hAnsi="Century Schoolbook"/>
          <w:bCs w:val="0"/>
          <w:kern w:val="0"/>
          <w:sz w:val="22"/>
          <w:szCs w:val="22"/>
        </w:rPr>
        <w:t>In</w:t>
      </w:r>
      <w:proofErr w:type="spellEnd"/>
      <w:r w:rsidR="001D2B20" w:rsidRPr="001D2B20">
        <w:rPr>
          <w:rFonts w:ascii="Century Schoolbook" w:hAnsi="Century Schoolbook"/>
          <w:bCs w:val="0"/>
          <w:kern w:val="0"/>
          <w:sz w:val="22"/>
          <w:szCs w:val="22"/>
        </w:rPr>
        <w:t xml:space="preserve"> Vivo</w:t>
      </w:r>
      <w:r w:rsidR="001303EB" w:rsidRPr="0078046D">
        <w:rPr>
          <w:rFonts w:ascii="Century Schoolbook" w:hAnsi="Century Schoolbook"/>
          <w:bCs w:val="0"/>
          <w:i w:val="0"/>
          <w:kern w:val="0"/>
          <w:sz w:val="22"/>
          <w:szCs w:val="22"/>
        </w:rPr>
        <w:t xml:space="preserve"> </w:t>
      </w:r>
      <w:proofErr w:type="spellStart"/>
      <w:r w:rsidR="001303EB" w:rsidRPr="0078046D">
        <w:rPr>
          <w:rFonts w:ascii="Century Schoolbook" w:hAnsi="Century Schoolbook"/>
          <w:bCs w:val="0"/>
          <w:i w:val="0"/>
          <w:kern w:val="0"/>
          <w:sz w:val="22"/>
          <w:szCs w:val="22"/>
        </w:rPr>
        <w:t>Genotoxicity</w:t>
      </w:r>
      <w:proofErr w:type="spellEnd"/>
      <w:r w:rsidR="001303EB" w:rsidRPr="0078046D">
        <w:rPr>
          <w:rFonts w:ascii="Century Schoolbook" w:hAnsi="Century Schoolbook"/>
          <w:bCs w:val="0"/>
          <w:i w:val="0"/>
          <w:kern w:val="0"/>
          <w:sz w:val="22"/>
          <w:szCs w:val="22"/>
        </w:rPr>
        <w:t xml:space="preserve"> Tests</w:t>
      </w:r>
      <w:bookmarkEnd w:id="76"/>
      <w:bookmarkEnd w:id="77"/>
    </w:p>
    <w:p w:rsidR="001D26BE" w:rsidRPr="00C9399A" w:rsidRDefault="001D26BE" w:rsidP="004A62F4">
      <w:pPr>
        <w:autoSpaceDE w:val="0"/>
        <w:autoSpaceDN w:val="0"/>
        <w:adjustRightInd w:val="0"/>
        <w:spacing w:after="120"/>
        <w:textAlignment w:val="bottom"/>
        <w:rPr>
          <w:rFonts w:ascii="Century Schoolbook" w:hAnsi="Century Schoolbook"/>
          <w:bCs/>
          <w:kern w:val="0"/>
          <w:sz w:val="22"/>
          <w:szCs w:val="22"/>
        </w:rPr>
      </w:pPr>
      <w:r w:rsidRPr="00C9399A">
        <w:rPr>
          <w:rFonts w:ascii="Century Schoolbook" w:hAnsi="Century Schoolbook"/>
          <w:bCs/>
          <w:kern w:val="0"/>
          <w:sz w:val="22"/>
          <w:szCs w:val="22"/>
        </w:rPr>
        <w:t xml:space="preserve">If sex-specific drugs are to be tested, then the assay can be done in the appropriate sex.  </w:t>
      </w:r>
      <w:r w:rsidRPr="00C9399A">
        <w:rPr>
          <w:rFonts w:ascii="Century Schoolbook" w:hAnsi="Century Schoolbook"/>
          <w:bCs/>
          <w:i/>
          <w:kern w:val="0"/>
          <w:sz w:val="22"/>
          <w:szCs w:val="22"/>
        </w:rPr>
        <w:t>In vivo</w:t>
      </w:r>
      <w:r w:rsidRPr="00C9399A">
        <w:rPr>
          <w:rFonts w:ascii="Century Schoolbook" w:hAnsi="Century Schoolbook"/>
          <w:bCs/>
          <w:kern w:val="0"/>
          <w:sz w:val="22"/>
          <w:szCs w:val="22"/>
        </w:rPr>
        <w:t xml:space="preserve"> tests with the acute protocol can generally be carried out in only one sex.  For </w:t>
      </w:r>
      <w:r w:rsidRPr="00C9399A">
        <w:rPr>
          <w:rFonts w:ascii="Century Schoolbook" w:hAnsi="Century Schoolbook"/>
          <w:bCs/>
          <w:kern w:val="0"/>
          <w:sz w:val="22"/>
          <w:szCs w:val="22"/>
        </w:rPr>
        <w:lastRenderedPageBreak/>
        <w:t>acute tests, both sexes should be considered only if any existing toxicity, metabolism or exposure (</w:t>
      </w:r>
      <w:proofErr w:type="spellStart"/>
      <w:r w:rsidRPr="00C9399A">
        <w:rPr>
          <w:rFonts w:ascii="Century Schoolbook" w:hAnsi="Century Schoolbook"/>
          <w:bCs/>
          <w:kern w:val="0"/>
          <w:sz w:val="22"/>
          <w:szCs w:val="22"/>
        </w:rPr>
        <w:t>Cmax</w:t>
      </w:r>
      <w:proofErr w:type="spellEnd"/>
      <w:r w:rsidRPr="00C9399A">
        <w:rPr>
          <w:rFonts w:ascii="Century Schoolbook" w:hAnsi="Century Schoolbook"/>
          <w:bCs/>
          <w:kern w:val="0"/>
          <w:sz w:val="22"/>
          <w:szCs w:val="22"/>
        </w:rPr>
        <w:t xml:space="preserve"> or AUC) data indicate a toxicologically meaningful sex difference in the species being used.  Otherwise, the use of males alone is considered appropriate for acute </w:t>
      </w:r>
      <w:proofErr w:type="spellStart"/>
      <w:r w:rsidRPr="00C9399A">
        <w:rPr>
          <w:rFonts w:ascii="Century Schoolbook" w:hAnsi="Century Schoolbook"/>
          <w:bCs/>
          <w:kern w:val="0"/>
          <w:sz w:val="22"/>
          <w:szCs w:val="22"/>
        </w:rPr>
        <w:t>genotoxicity</w:t>
      </w:r>
      <w:proofErr w:type="spellEnd"/>
      <w:r w:rsidRPr="00C9399A">
        <w:rPr>
          <w:rFonts w:ascii="Century Schoolbook" w:hAnsi="Century Schoolbook"/>
          <w:bCs/>
          <w:kern w:val="0"/>
          <w:sz w:val="22"/>
          <w:szCs w:val="22"/>
        </w:rPr>
        <w:t xml:space="preserve"> tests.  When the </w:t>
      </w:r>
      <w:proofErr w:type="spellStart"/>
      <w:r w:rsidRPr="00C9399A">
        <w:rPr>
          <w:rFonts w:ascii="Century Schoolbook" w:hAnsi="Century Schoolbook"/>
          <w:bCs/>
          <w:kern w:val="0"/>
          <w:sz w:val="22"/>
          <w:szCs w:val="22"/>
        </w:rPr>
        <w:t>genotoxicity</w:t>
      </w:r>
      <w:proofErr w:type="spellEnd"/>
      <w:r w:rsidRPr="00C9399A">
        <w:rPr>
          <w:rFonts w:ascii="Century Schoolbook" w:hAnsi="Century Schoolbook"/>
          <w:bCs/>
          <w:kern w:val="0"/>
          <w:sz w:val="22"/>
          <w:szCs w:val="22"/>
        </w:rPr>
        <w:t xml:space="preserve"> test is integrated into a repeat-dose toxicology study in two sexes, samples can be collected from both sexes, but a single sex can be scored if there is no substantial sex difference evident in toxicity/metabolism.  The dose levels for the </w:t>
      </w:r>
      <w:proofErr w:type="gramStart"/>
      <w:r w:rsidRPr="00C9399A">
        <w:rPr>
          <w:rFonts w:ascii="Century Schoolbook" w:hAnsi="Century Schoolbook"/>
          <w:bCs/>
          <w:kern w:val="0"/>
          <w:sz w:val="22"/>
          <w:szCs w:val="22"/>
        </w:rPr>
        <w:t>sex(</w:t>
      </w:r>
      <w:proofErr w:type="spellStart"/>
      <w:proofErr w:type="gramEnd"/>
      <w:r w:rsidRPr="00C9399A">
        <w:rPr>
          <w:rFonts w:ascii="Century Schoolbook" w:hAnsi="Century Schoolbook"/>
          <w:bCs/>
          <w:kern w:val="0"/>
          <w:sz w:val="22"/>
          <w:szCs w:val="22"/>
        </w:rPr>
        <w:t>es</w:t>
      </w:r>
      <w:proofErr w:type="spellEnd"/>
      <w:r w:rsidRPr="00C9399A">
        <w:rPr>
          <w:rFonts w:ascii="Century Schoolbook" w:hAnsi="Century Schoolbook"/>
          <w:bCs/>
          <w:kern w:val="0"/>
          <w:sz w:val="22"/>
          <w:szCs w:val="22"/>
        </w:rPr>
        <w:t>) scored should meet the criteria for appropriate dose levels (</w:t>
      </w:r>
      <w:r w:rsidR="00445CE6">
        <w:rPr>
          <w:rFonts w:ascii="Century Schoolbook" w:hAnsi="Century Schoolbook"/>
          <w:bCs/>
          <w:kern w:val="0"/>
          <w:sz w:val="22"/>
          <w:szCs w:val="22"/>
        </w:rPr>
        <w:t xml:space="preserve">see </w:t>
      </w:r>
      <w:r w:rsidR="00DB33C4">
        <w:rPr>
          <w:rFonts w:ascii="Century Schoolbook" w:hAnsi="Century Schoolbook"/>
          <w:bCs/>
          <w:kern w:val="0"/>
          <w:sz w:val="22"/>
          <w:szCs w:val="22"/>
        </w:rPr>
        <w:t>Section</w:t>
      </w:r>
      <w:r w:rsidRPr="00C9399A">
        <w:rPr>
          <w:rFonts w:ascii="Century Schoolbook" w:hAnsi="Century Schoolbook"/>
          <w:bCs/>
          <w:kern w:val="0"/>
          <w:sz w:val="22"/>
          <w:szCs w:val="22"/>
        </w:rPr>
        <w:t>s 4.3.2 and 4.3.3).</w:t>
      </w:r>
    </w:p>
    <w:p w:rsidR="001D26BE" w:rsidRPr="00C9399A" w:rsidRDefault="001D26BE" w:rsidP="004A62F4">
      <w:pPr>
        <w:autoSpaceDE w:val="0"/>
        <w:autoSpaceDN w:val="0"/>
        <w:adjustRightInd w:val="0"/>
        <w:spacing w:after="120"/>
        <w:textAlignment w:val="bottom"/>
        <w:rPr>
          <w:rFonts w:ascii="Century Schoolbook" w:hAnsi="Century Schoolbook"/>
          <w:bCs/>
          <w:kern w:val="0"/>
          <w:sz w:val="22"/>
          <w:szCs w:val="22"/>
        </w:rPr>
      </w:pPr>
      <w:r w:rsidRPr="00C9399A">
        <w:rPr>
          <w:rFonts w:ascii="Century Schoolbook" w:hAnsi="Century Schoolbook"/>
          <w:bCs/>
          <w:kern w:val="0"/>
          <w:sz w:val="22"/>
          <w:szCs w:val="22"/>
        </w:rPr>
        <w:t xml:space="preserve">Similar principles can be applied for other established </w:t>
      </w:r>
      <w:r w:rsidRPr="00C9399A">
        <w:rPr>
          <w:rFonts w:ascii="Century Schoolbook" w:hAnsi="Century Schoolbook"/>
          <w:bCs/>
          <w:i/>
          <w:kern w:val="0"/>
          <w:sz w:val="22"/>
          <w:szCs w:val="22"/>
        </w:rPr>
        <w:t>in vivo</w:t>
      </w:r>
      <w:r w:rsidRPr="00C9399A">
        <w:rPr>
          <w:rFonts w:ascii="Century Schoolbook" w:hAnsi="Century Schoolbook"/>
          <w:bCs/>
          <w:kern w:val="0"/>
          <w:sz w:val="22"/>
          <w:szCs w:val="22"/>
        </w:rPr>
        <w:t xml:space="preserve"> </w:t>
      </w:r>
      <w:proofErr w:type="spellStart"/>
      <w:r w:rsidRPr="00C9399A">
        <w:rPr>
          <w:rFonts w:ascii="Century Schoolbook" w:hAnsi="Century Schoolbook"/>
          <w:bCs/>
          <w:kern w:val="0"/>
          <w:sz w:val="22"/>
          <w:szCs w:val="22"/>
        </w:rPr>
        <w:t>genotoxicity</w:t>
      </w:r>
      <w:proofErr w:type="spellEnd"/>
      <w:r w:rsidRPr="00C9399A">
        <w:rPr>
          <w:rFonts w:ascii="Century Schoolbook" w:hAnsi="Century Schoolbook"/>
          <w:bCs/>
          <w:kern w:val="0"/>
          <w:sz w:val="22"/>
          <w:szCs w:val="22"/>
        </w:rPr>
        <w:t xml:space="preserve"> tests.</w:t>
      </w:r>
    </w:p>
    <w:p w:rsidR="001D26BE" w:rsidRPr="0078046D" w:rsidRDefault="001D26BE" w:rsidP="00AA186A">
      <w:pPr>
        <w:pStyle w:val="Heading2"/>
        <w:numPr>
          <w:ilvl w:val="1"/>
          <w:numId w:val="36"/>
        </w:numPr>
        <w:spacing w:before="180" w:after="120"/>
        <w:ind w:left="720" w:hanging="720"/>
        <w:rPr>
          <w:rFonts w:ascii="Century Schoolbook" w:hAnsi="Century Schoolbook"/>
          <w:bCs w:val="0"/>
          <w:i w:val="0"/>
          <w:kern w:val="0"/>
          <w:sz w:val="22"/>
          <w:szCs w:val="22"/>
        </w:rPr>
      </w:pPr>
      <w:bookmarkStart w:id="80" w:name="_Toc309742202"/>
      <w:bookmarkStart w:id="81" w:name="_Toc309835300"/>
      <w:r w:rsidRPr="0078046D">
        <w:rPr>
          <w:rFonts w:ascii="Century Schoolbook" w:hAnsi="Century Schoolbook"/>
          <w:bCs w:val="0"/>
          <w:i w:val="0"/>
          <w:kern w:val="0"/>
          <w:sz w:val="22"/>
          <w:szCs w:val="22"/>
        </w:rPr>
        <w:t xml:space="preserve">Route </w:t>
      </w:r>
      <w:r w:rsidR="001303EB" w:rsidRPr="0078046D">
        <w:rPr>
          <w:rFonts w:ascii="Century Schoolbook" w:hAnsi="Century Schoolbook"/>
          <w:bCs w:val="0"/>
          <w:i w:val="0"/>
          <w:kern w:val="0"/>
          <w:sz w:val="22"/>
          <w:szCs w:val="22"/>
        </w:rPr>
        <w:t>of Administration</w:t>
      </w:r>
      <w:bookmarkEnd w:id="80"/>
      <w:bookmarkEnd w:id="81"/>
    </w:p>
    <w:p w:rsidR="001D26BE" w:rsidRPr="00C9399A" w:rsidRDefault="001D26BE" w:rsidP="00E44012">
      <w:pPr>
        <w:autoSpaceDE w:val="0"/>
        <w:autoSpaceDN w:val="0"/>
        <w:adjustRightInd w:val="0"/>
        <w:spacing w:after="120"/>
        <w:textAlignment w:val="bottom"/>
        <w:rPr>
          <w:rFonts w:ascii="Century Schoolbook" w:hAnsi="Century Schoolbook"/>
          <w:kern w:val="0"/>
          <w:sz w:val="22"/>
          <w:szCs w:val="22"/>
        </w:rPr>
      </w:pPr>
      <w:r w:rsidRPr="00C9399A">
        <w:rPr>
          <w:rFonts w:ascii="Century Schoolbook" w:hAnsi="Century Schoolbook"/>
          <w:kern w:val="0"/>
          <w:sz w:val="22"/>
          <w:szCs w:val="22"/>
        </w:rPr>
        <w:t xml:space="preserve">The route of administration is generally the expected clinical route, e.g., oral, intravenous or subcutaneous, but can be modified if appropriate in order to obtain systemic exposure, e.g., for topically applied compounds (see </w:t>
      </w:r>
      <w:r w:rsidR="00DB33C4">
        <w:rPr>
          <w:rFonts w:ascii="Century Schoolbook" w:hAnsi="Century Schoolbook"/>
          <w:kern w:val="0"/>
          <w:sz w:val="22"/>
          <w:szCs w:val="22"/>
        </w:rPr>
        <w:t>Section</w:t>
      </w:r>
      <w:r w:rsidRPr="00C9399A">
        <w:rPr>
          <w:rFonts w:ascii="Century Schoolbook" w:hAnsi="Century Schoolbook"/>
          <w:kern w:val="0"/>
          <w:sz w:val="22"/>
          <w:szCs w:val="22"/>
        </w:rPr>
        <w:t xml:space="preserve"> 2.3.4).</w:t>
      </w:r>
    </w:p>
    <w:p w:rsidR="001D26BE" w:rsidRPr="0078046D" w:rsidRDefault="001D26BE" w:rsidP="00AA186A">
      <w:pPr>
        <w:pStyle w:val="Heading2"/>
        <w:numPr>
          <w:ilvl w:val="1"/>
          <w:numId w:val="36"/>
        </w:numPr>
        <w:spacing w:before="180" w:after="120"/>
        <w:ind w:left="720" w:hanging="720"/>
        <w:rPr>
          <w:rFonts w:ascii="Century Schoolbook" w:hAnsi="Century Schoolbook"/>
          <w:bCs w:val="0"/>
          <w:i w:val="0"/>
          <w:kern w:val="0"/>
          <w:sz w:val="22"/>
          <w:szCs w:val="22"/>
        </w:rPr>
      </w:pPr>
      <w:bookmarkStart w:id="82" w:name="_Toc309742203"/>
      <w:bookmarkStart w:id="83" w:name="_Toc309835301"/>
      <w:bookmarkEnd w:id="78"/>
      <w:bookmarkEnd w:id="79"/>
      <w:r w:rsidRPr="0078046D">
        <w:rPr>
          <w:rFonts w:ascii="Century Schoolbook" w:hAnsi="Century Schoolbook"/>
          <w:bCs w:val="0"/>
          <w:i w:val="0"/>
          <w:kern w:val="0"/>
          <w:sz w:val="22"/>
          <w:szCs w:val="22"/>
        </w:rPr>
        <w:t xml:space="preserve">Use </w:t>
      </w:r>
      <w:r w:rsidR="001303EB" w:rsidRPr="0078046D">
        <w:rPr>
          <w:rFonts w:ascii="Century Schoolbook" w:hAnsi="Century Schoolbook"/>
          <w:bCs w:val="0"/>
          <w:i w:val="0"/>
          <w:kern w:val="0"/>
          <w:sz w:val="22"/>
          <w:szCs w:val="22"/>
        </w:rPr>
        <w:t xml:space="preserve">of Positive Controls for </w:t>
      </w:r>
      <w:r w:rsidR="001D2B20" w:rsidRPr="001D2B20">
        <w:rPr>
          <w:rFonts w:ascii="Century Schoolbook" w:hAnsi="Century Schoolbook"/>
          <w:bCs w:val="0"/>
          <w:kern w:val="0"/>
          <w:sz w:val="22"/>
          <w:szCs w:val="22"/>
        </w:rPr>
        <w:t>In Vivo</w:t>
      </w:r>
      <w:r w:rsidR="001303EB" w:rsidRPr="0078046D">
        <w:rPr>
          <w:rFonts w:ascii="Century Schoolbook" w:hAnsi="Century Schoolbook"/>
          <w:bCs w:val="0"/>
          <w:i w:val="0"/>
          <w:kern w:val="0"/>
          <w:sz w:val="22"/>
          <w:szCs w:val="22"/>
        </w:rPr>
        <w:t xml:space="preserve"> Studies</w:t>
      </w:r>
      <w:bookmarkEnd w:id="82"/>
      <w:bookmarkEnd w:id="83"/>
    </w:p>
    <w:p w:rsidR="001D26BE" w:rsidRPr="00C9399A" w:rsidRDefault="001D26BE" w:rsidP="00636D8E">
      <w:pPr>
        <w:autoSpaceDE w:val="0"/>
        <w:autoSpaceDN w:val="0"/>
        <w:adjustRightInd w:val="0"/>
        <w:spacing w:after="120"/>
        <w:textAlignment w:val="bottom"/>
        <w:rPr>
          <w:rFonts w:ascii="Century Schoolbook" w:hAnsi="Century Schoolbook"/>
          <w:kern w:val="0"/>
          <w:sz w:val="22"/>
          <w:szCs w:val="22"/>
        </w:rPr>
      </w:pPr>
      <w:r w:rsidRPr="00C9399A">
        <w:rPr>
          <w:rFonts w:ascii="Century Schoolbook" w:hAnsi="Century Schoolbook"/>
          <w:kern w:val="0"/>
          <w:sz w:val="22"/>
          <w:szCs w:val="22"/>
        </w:rPr>
        <w:t xml:space="preserve">For </w:t>
      </w:r>
      <w:r w:rsidRPr="00C9399A">
        <w:rPr>
          <w:rFonts w:ascii="Century Schoolbook" w:hAnsi="Century Schoolbook"/>
          <w:i/>
          <w:kern w:val="0"/>
          <w:sz w:val="22"/>
          <w:szCs w:val="22"/>
        </w:rPr>
        <w:t>in vivo</w:t>
      </w:r>
      <w:r w:rsidRPr="00C9399A">
        <w:rPr>
          <w:rFonts w:ascii="Century Schoolbook" w:hAnsi="Century Schoolbook"/>
          <w:kern w:val="0"/>
          <w:sz w:val="22"/>
          <w:szCs w:val="22"/>
        </w:rPr>
        <w:t xml:space="preserve"> studies, it is considered sufficient to treat animals with a positive control only periodically, and not concurrently with every assay, after a laboratory has established competence in the use of the assay (</w:t>
      </w:r>
      <w:r w:rsidR="00DB33C4">
        <w:rPr>
          <w:rFonts w:ascii="Century Schoolbook" w:hAnsi="Century Schoolbook"/>
          <w:kern w:val="0"/>
          <w:sz w:val="22"/>
          <w:szCs w:val="22"/>
        </w:rPr>
        <w:t>Note</w:t>
      </w:r>
      <w:r w:rsidRPr="00C9399A">
        <w:rPr>
          <w:rFonts w:ascii="Century Schoolbook" w:hAnsi="Century Schoolbook"/>
          <w:kern w:val="0"/>
          <w:sz w:val="22"/>
          <w:szCs w:val="22"/>
        </w:rPr>
        <w:t xml:space="preserve"> 16). </w:t>
      </w:r>
    </w:p>
    <w:p w:rsidR="001D26BE" w:rsidRPr="0078046D" w:rsidRDefault="000B3C1E" w:rsidP="00C6487E">
      <w:pPr>
        <w:pStyle w:val="hs"/>
        <w:numPr>
          <w:ilvl w:val="0"/>
          <w:numId w:val="36"/>
        </w:numPr>
        <w:tabs>
          <w:tab w:val="clear" w:pos="426"/>
          <w:tab w:val="left" w:pos="720"/>
        </w:tabs>
        <w:spacing w:before="240" w:after="180"/>
        <w:ind w:left="720" w:hanging="720"/>
        <w:jc w:val="left"/>
        <w:outlineLvl w:val="0"/>
        <w:rPr>
          <w:rFonts w:ascii="Century Schoolbook" w:hAnsi="Century Schoolbook"/>
          <w:bCs/>
          <w:sz w:val="22"/>
          <w:szCs w:val="22"/>
          <w:u w:val="single"/>
        </w:rPr>
      </w:pPr>
      <w:bookmarkStart w:id="84" w:name="_Toc309742204"/>
      <w:bookmarkStart w:id="85" w:name="_Toc309835302"/>
      <w:r w:rsidRPr="0078046D">
        <w:rPr>
          <w:rFonts w:ascii="Century Schoolbook" w:hAnsi="Century Schoolbook"/>
          <w:bCs/>
          <w:smallCaps/>
          <w:sz w:val="22"/>
          <w:szCs w:val="22"/>
        </w:rPr>
        <w:t xml:space="preserve">Guidance </w:t>
      </w:r>
      <w:r w:rsidR="001303EB" w:rsidRPr="0078046D">
        <w:rPr>
          <w:rFonts w:ascii="Century Schoolbook" w:hAnsi="Century Schoolbook"/>
          <w:bCs/>
          <w:smallCaps/>
          <w:sz w:val="22"/>
          <w:szCs w:val="22"/>
        </w:rPr>
        <w:t>o</w:t>
      </w:r>
      <w:r w:rsidRPr="0078046D">
        <w:rPr>
          <w:rFonts w:ascii="Century Schoolbook" w:hAnsi="Century Schoolbook"/>
          <w:bCs/>
          <w:smallCaps/>
          <w:sz w:val="22"/>
          <w:szCs w:val="22"/>
        </w:rPr>
        <w:t xml:space="preserve">n Evaluation </w:t>
      </w:r>
      <w:r w:rsidR="001303EB" w:rsidRPr="0078046D">
        <w:rPr>
          <w:rFonts w:ascii="Century Schoolbook" w:hAnsi="Century Schoolbook"/>
          <w:bCs/>
          <w:smallCaps/>
          <w:sz w:val="22"/>
          <w:szCs w:val="22"/>
        </w:rPr>
        <w:t>o</w:t>
      </w:r>
      <w:r w:rsidRPr="0078046D">
        <w:rPr>
          <w:rFonts w:ascii="Century Schoolbook" w:hAnsi="Century Schoolbook"/>
          <w:bCs/>
          <w:smallCaps/>
          <w:sz w:val="22"/>
          <w:szCs w:val="22"/>
        </w:rPr>
        <w:t xml:space="preserve">f Test Results </w:t>
      </w:r>
      <w:r w:rsidR="001303EB" w:rsidRPr="0078046D">
        <w:rPr>
          <w:rFonts w:ascii="Century Schoolbook" w:hAnsi="Century Schoolbook"/>
          <w:bCs/>
          <w:smallCaps/>
          <w:sz w:val="22"/>
          <w:szCs w:val="22"/>
        </w:rPr>
        <w:t>a</w:t>
      </w:r>
      <w:r w:rsidRPr="0078046D">
        <w:rPr>
          <w:rFonts w:ascii="Century Schoolbook" w:hAnsi="Century Schoolbook"/>
          <w:bCs/>
          <w:smallCaps/>
          <w:sz w:val="22"/>
          <w:szCs w:val="22"/>
        </w:rPr>
        <w:t xml:space="preserve">nd </w:t>
      </w:r>
      <w:r w:rsidR="001303EB" w:rsidRPr="0078046D">
        <w:rPr>
          <w:rFonts w:ascii="Century Schoolbook" w:hAnsi="Century Schoolbook"/>
          <w:bCs/>
          <w:smallCaps/>
          <w:sz w:val="22"/>
          <w:szCs w:val="22"/>
        </w:rPr>
        <w:t>o</w:t>
      </w:r>
      <w:r w:rsidRPr="0078046D">
        <w:rPr>
          <w:rFonts w:ascii="Century Schoolbook" w:hAnsi="Century Schoolbook"/>
          <w:bCs/>
          <w:smallCaps/>
          <w:sz w:val="22"/>
          <w:szCs w:val="22"/>
        </w:rPr>
        <w:t>n Follow-</w:t>
      </w:r>
      <w:r w:rsidR="001303EB" w:rsidRPr="0078046D">
        <w:rPr>
          <w:rFonts w:ascii="Century Schoolbook" w:hAnsi="Century Schoolbook"/>
          <w:bCs/>
          <w:smallCaps/>
          <w:sz w:val="22"/>
          <w:szCs w:val="22"/>
        </w:rPr>
        <w:t>u</w:t>
      </w:r>
      <w:r w:rsidRPr="0078046D">
        <w:rPr>
          <w:rFonts w:ascii="Century Schoolbook" w:hAnsi="Century Schoolbook"/>
          <w:bCs/>
          <w:smallCaps/>
          <w:sz w:val="22"/>
          <w:szCs w:val="22"/>
        </w:rPr>
        <w:t>p Test Strategies</w:t>
      </w:r>
      <w:bookmarkEnd w:id="84"/>
      <w:bookmarkEnd w:id="85"/>
    </w:p>
    <w:p w:rsidR="001D26BE" w:rsidRPr="00C9399A" w:rsidRDefault="001D26BE" w:rsidP="004A62F4">
      <w:pPr>
        <w:autoSpaceDE w:val="0"/>
        <w:autoSpaceDN w:val="0"/>
        <w:adjustRightInd w:val="0"/>
        <w:spacing w:after="120"/>
        <w:textAlignment w:val="bottom"/>
        <w:rPr>
          <w:rFonts w:ascii="Century Schoolbook" w:hAnsi="Century Schoolbook"/>
          <w:kern w:val="0"/>
          <w:sz w:val="22"/>
          <w:szCs w:val="22"/>
        </w:rPr>
      </w:pPr>
      <w:r w:rsidRPr="00C9399A">
        <w:rPr>
          <w:rFonts w:ascii="Century Schoolbook" w:hAnsi="Century Schoolbook"/>
          <w:kern w:val="0"/>
          <w:sz w:val="22"/>
          <w:szCs w:val="22"/>
        </w:rPr>
        <w:t xml:space="preserve">Comparative trials have shown conclusively that each </w:t>
      </w:r>
      <w:r w:rsidRPr="00C9399A">
        <w:rPr>
          <w:rFonts w:ascii="Century Schoolbook" w:hAnsi="Century Schoolbook"/>
          <w:i/>
          <w:iCs/>
          <w:kern w:val="0"/>
          <w:sz w:val="22"/>
          <w:szCs w:val="22"/>
        </w:rPr>
        <w:t xml:space="preserve">in vitro </w:t>
      </w:r>
      <w:r w:rsidRPr="00C9399A">
        <w:rPr>
          <w:rFonts w:ascii="Century Schoolbook" w:hAnsi="Century Schoolbook"/>
          <w:kern w:val="0"/>
          <w:sz w:val="22"/>
          <w:szCs w:val="22"/>
        </w:rPr>
        <w:t xml:space="preserve">test system generates both false negative and false positive results in relation to predicting rodent carcinogenicity.  </w:t>
      </w:r>
      <w:proofErr w:type="spellStart"/>
      <w:r w:rsidRPr="00C9399A">
        <w:rPr>
          <w:rFonts w:ascii="Century Schoolbook" w:hAnsi="Century Schoolbook"/>
          <w:kern w:val="0"/>
          <w:sz w:val="22"/>
          <w:szCs w:val="22"/>
        </w:rPr>
        <w:t>Genotoxicity</w:t>
      </w:r>
      <w:proofErr w:type="spellEnd"/>
      <w:r w:rsidRPr="00C9399A">
        <w:rPr>
          <w:rFonts w:ascii="Century Schoolbook" w:hAnsi="Century Schoolbook"/>
          <w:kern w:val="0"/>
          <w:sz w:val="22"/>
          <w:szCs w:val="22"/>
        </w:rPr>
        <w:t xml:space="preserve"> test batteries (of </w:t>
      </w:r>
      <w:r w:rsidRPr="00C9399A">
        <w:rPr>
          <w:rFonts w:ascii="Century Schoolbook" w:hAnsi="Century Schoolbook"/>
          <w:i/>
          <w:iCs/>
          <w:kern w:val="0"/>
          <w:sz w:val="22"/>
          <w:szCs w:val="22"/>
        </w:rPr>
        <w:t xml:space="preserve">in vitro </w:t>
      </w:r>
      <w:r w:rsidRPr="00C9399A">
        <w:rPr>
          <w:rFonts w:ascii="Century Schoolbook" w:hAnsi="Century Schoolbook"/>
          <w:kern w:val="0"/>
          <w:sz w:val="22"/>
          <w:szCs w:val="22"/>
        </w:rPr>
        <w:t xml:space="preserve">and </w:t>
      </w:r>
      <w:r w:rsidRPr="00C9399A">
        <w:rPr>
          <w:rFonts w:ascii="Century Schoolbook" w:hAnsi="Century Schoolbook"/>
          <w:i/>
          <w:iCs/>
          <w:kern w:val="0"/>
          <w:sz w:val="22"/>
          <w:szCs w:val="22"/>
        </w:rPr>
        <w:t xml:space="preserve">in vivo </w:t>
      </w:r>
      <w:r w:rsidRPr="00C9399A">
        <w:rPr>
          <w:rFonts w:ascii="Century Schoolbook" w:hAnsi="Century Schoolbook"/>
          <w:kern w:val="0"/>
          <w:sz w:val="22"/>
          <w:szCs w:val="22"/>
        </w:rPr>
        <w:t>tests) detect carcinogens that are thought to act primarily via a mechanism involving direct genetic damage, such as the majority of known human carcinogens.  Therefore, these batteries are not expected to detect non-</w:t>
      </w:r>
      <w:proofErr w:type="spellStart"/>
      <w:r w:rsidRPr="00C9399A">
        <w:rPr>
          <w:rFonts w:ascii="Century Schoolbook" w:hAnsi="Century Schoolbook"/>
          <w:kern w:val="0"/>
          <w:sz w:val="22"/>
          <w:szCs w:val="22"/>
        </w:rPr>
        <w:t>genotoxic</w:t>
      </w:r>
      <w:proofErr w:type="spellEnd"/>
      <w:r w:rsidRPr="00C9399A">
        <w:rPr>
          <w:rFonts w:ascii="Century Schoolbook" w:hAnsi="Century Schoolbook"/>
          <w:kern w:val="0"/>
          <w:sz w:val="22"/>
          <w:szCs w:val="22"/>
        </w:rPr>
        <w:t xml:space="preserve"> carcinogens.  Experimental conditions, such as the limited capability of the </w:t>
      </w:r>
      <w:r w:rsidRPr="00C9399A">
        <w:rPr>
          <w:rFonts w:ascii="Century Schoolbook" w:hAnsi="Century Schoolbook"/>
          <w:i/>
          <w:iCs/>
          <w:kern w:val="0"/>
          <w:sz w:val="22"/>
          <w:szCs w:val="22"/>
        </w:rPr>
        <w:t xml:space="preserve">in vitro </w:t>
      </w:r>
      <w:r w:rsidRPr="00C9399A">
        <w:rPr>
          <w:rFonts w:ascii="Century Schoolbook" w:hAnsi="Century Schoolbook"/>
          <w:kern w:val="0"/>
          <w:sz w:val="22"/>
          <w:szCs w:val="22"/>
        </w:rPr>
        <w:t xml:space="preserve">metabolic activation systems, can lead to false negative results in </w:t>
      </w:r>
      <w:proofErr w:type="spellStart"/>
      <w:r w:rsidRPr="00C9399A">
        <w:rPr>
          <w:rFonts w:ascii="Century Schoolbook" w:hAnsi="Century Schoolbook"/>
          <w:i/>
          <w:iCs/>
          <w:kern w:val="0"/>
          <w:sz w:val="22"/>
          <w:szCs w:val="22"/>
        </w:rPr>
        <w:t>in</w:t>
      </w:r>
      <w:proofErr w:type="spellEnd"/>
      <w:r w:rsidRPr="00C9399A">
        <w:rPr>
          <w:rFonts w:ascii="Century Schoolbook" w:hAnsi="Century Schoolbook"/>
          <w:i/>
          <w:iCs/>
          <w:kern w:val="0"/>
          <w:sz w:val="22"/>
          <w:szCs w:val="22"/>
        </w:rPr>
        <w:t xml:space="preserve"> vitro </w:t>
      </w:r>
      <w:r w:rsidRPr="00C9399A">
        <w:rPr>
          <w:rFonts w:ascii="Century Schoolbook" w:hAnsi="Century Schoolbook"/>
          <w:kern w:val="0"/>
          <w:sz w:val="22"/>
          <w:szCs w:val="22"/>
        </w:rPr>
        <w:t xml:space="preserve">tests.  The test battery approach is designed to reduce the risk of false negative results for compounds with </w:t>
      </w:r>
      <w:proofErr w:type="spellStart"/>
      <w:r w:rsidRPr="00C9399A">
        <w:rPr>
          <w:rFonts w:ascii="Century Schoolbook" w:hAnsi="Century Schoolbook"/>
          <w:kern w:val="0"/>
          <w:sz w:val="22"/>
          <w:szCs w:val="22"/>
        </w:rPr>
        <w:t>genotoxic</w:t>
      </w:r>
      <w:proofErr w:type="spellEnd"/>
      <w:r w:rsidRPr="00C9399A">
        <w:rPr>
          <w:rFonts w:ascii="Century Schoolbook" w:hAnsi="Century Schoolbook"/>
          <w:kern w:val="0"/>
          <w:sz w:val="22"/>
          <w:szCs w:val="22"/>
        </w:rPr>
        <w:t xml:space="preserve"> potential. On the other hand a positive result in any assay for </w:t>
      </w:r>
      <w:proofErr w:type="spellStart"/>
      <w:r w:rsidRPr="00C9399A">
        <w:rPr>
          <w:rFonts w:ascii="Century Schoolbook" w:hAnsi="Century Schoolbook"/>
          <w:kern w:val="0"/>
          <w:sz w:val="22"/>
          <w:szCs w:val="22"/>
        </w:rPr>
        <w:t>genotoxicity</w:t>
      </w:r>
      <w:proofErr w:type="spellEnd"/>
      <w:r w:rsidRPr="00C9399A">
        <w:rPr>
          <w:rFonts w:ascii="Century Schoolbook" w:hAnsi="Century Schoolbook"/>
          <w:kern w:val="0"/>
          <w:sz w:val="22"/>
          <w:szCs w:val="22"/>
        </w:rPr>
        <w:t xml:space="preserve"> does not always mean that the test compound poses a </w:t>
      </w:r>
      <w:proofErr w:type="spellStart"/>
      <w:r w:rsidRPr="00C9399A">
        <w:rPr>
          <w:rFonts w:ascii="Century Schoolbook" w:hAnsi="Century Schoolbook"/>
          <w:kern w:val="0"/>
          <w:sz w:val="22"/>
          <w:szCs w:val="22"/>
        </w:rPr>
        <w:t>genotoxic</w:t>
      </w:r>
      <w:proofErr w:type="spellEnd"/>
      <w:r w:rsidRPr="00C9399A">
        <w:rPr>
          <w:rFonts w:ascii="Century Schoolbook" w:hAnsi="Century Schoolbook"/>
          <w:kern w:val="0"/>
          <w:sz w:val="22"/>
          <w:szCs w:val="22"/>
        </w:rPr>
        <w:t>/carcinogenic hazard to humans.</w:t>
      </w:r>
    </w:p>
    <w:p w:rsidR="001D26BE" w:rsidRPr="00C9399A" w:rsidRDefault="001D26BE" w:rsidP="004A62F4">
      <w:pPr>
        <w:autoSpaceDE w:val="0"/>
        <w:autoSpaceDN w:val="0"/>
        <w:adjustRightInd w:val="0"/>
        <w:spacing w:after="120"/>
        <w:textAlignment w:val="bottom"/>
        <w:rPr>
          <w:rFonts w:ascii="Century Schoolbook" w:hAnsi="Century Schoolbook"/>
          <w:kern w:val="0"/>
          <w:sz w:val="22"/>
          <w:szCs w:val="22"/>
        </w:rPr>
      </w:pPr>
      <w:r w:rsidRPr="00C9399A">
        <w:rPr>
          <w:rFonts w:ascii="Century Schoolbook" w:hAnsi="Century Schoolbook"/>
          <w:kern w:val="0"/>
          <w:sz w:val="22"/>
          <w:szCs w:val="22"/>
        </w:rPr>
        <w:t xml:space="preserve">Although positive </w:t>
      </w:r>
      <w:r w:rsidRPr="00C9399A">
        <w:rPr>
          <w:rFonts w:ascii="Century Schoolbook" w:hAnsi="Century Schoolbook"/>
          <w:i/>
          <w:kern w:val="0"/>
          <w:sz w:val="22"/>
          <w:szCs w:val="22"/>
        </w:rPr>
        <w:t xml:space="preserve">in vitro </w:t>
      </w:r>
      <w:r w:rsidRPr="00C9399A">
        <w:rPr>
          <w:rFonts w:ascii="Century Schoolbook" w:hAnsi="Century Schoolbook"/>
          <w:kern w:val="0"/>
          <w:sz w:val="22"/>
          <w:szCs w:val="22"/>
        </w:rPr>
        <w:t xml:space="preserve">data could indicate intrinsic </w:t>
      </w:r>
      <w:proofErr w:type="spellStart"/>
      <w:r w:rsidRPr="00C9399A">
        <w:rPr>
          <w:rFonts w:ascii="Century Schoolbook" w:hAnsi="Century Schoolbook"/>
          <w:kern w:val="0"/>
          <w:sz w:val="22"/>
          <w:szCs w:val="22"/>
        </w:rPr>
        <w:t>genotoxic</w:t>
      </w:r>
      <w:proofErr w:type="spellEnd"/>
      <w:r w:rsidRPr="00C9399A">
        <w:rPr>
          <w:rFonts w:ascii="Century Schoolbook" w:hAnsi="Century Schoolbook"/>
          <w:kern w:val="0"/>
          <w:sz w:val="22"/>
          <w:szCs w:val="22"/>
        </w:rPr>
        <w:t xml:space="preserve"> properties of a drug, appropriate i</w:t>
      </w:r>
      <w:r w:rsidRPr="00C9399A">
        <w:rPr>
          <w:rFonts w:ascii="Century Schoolbook" w:hAnsi="Century Schoolbook"/>
          <w:i/>
          <w:kern w:val="0"/>
          <w:sz w:val="22"/>
          <w:szCs w:val="22"/>
        </w:rPr>
        <w:t xml:space="preserve">n vivo </w:t>
      </w:r>
      <w:r w:rsidRPr="00C9399A">
        <w:rPr>
          <w:rFonts w:ascii="Century Schoolbook" w:hAnsi="Century Schoolbook"/>
          <w:kern w:val="0"/>
          <w:sz w:val="22"/>
          <w:szCs w:val="22"/>
        </w:rPr>
        <w:t xml:space="preserve">data determine the biological significance of these </w:t>
      </w:r>
      <w:r w:rsidRPr="00C9399A">
        <w:rPr>
          <w:rFonts w:ascii="Century Schoolbook" w:hAnsi="Century Schoolbook"/>
          <w:i/>
          <w:kern w:val="0"/>
          <w:sz w:val="22"/>
          <w:szCs w:val="22"/>
        </w:rPr>
        <w:t>in vitro</w:t>
      </w:r>
      <w:r w:rsidRPr="00C9399A">
        <w:rPr>
          <w:rFonts w:ascii="Century Schoolbook" w:hAnsi="Century Schoolbook"/>
          <w:kern w:val="0"/>
          <w:sz w:val="22"/>
          <w:szCs w:val="22"/>
        </w:rPr>
        <w:t xml:space="preserve"> signals in most cases.  Also, because there are several indirect mechanisms of </w:t>
      </w:r>
      <w:proofErr w:type="spellStart"/>
      <w:r w:rsidRPr="00C9399A">
        <w:rPr>
          <w:rFonts w:ascii="Century Schoolbook" w:hAnsi="Century Schoolbook"/>
          <w:kern w:val="0"/>
          <w:sz w:val="22"/>
          <w:szCs w:val="22"/>
        </w:rPr>
        <w:t>genotoxicity</w:t>
      </w:r>
      <w:proofErr w:type="spellEnd"/>
      <w:r w:rsidRPr="00C9399A">
        <w:rPr>
          <w:rFonts w:ascii="Century Schoolbook" w:hAnsi="Century Schoolbook"/>
          <w:kern w:val="0"/>
          <w:sz w:val="22"/>
          <w:szCs w:val="22"/>
        </w:rPr>
        <w:t xml:space="preserve"> that operate only above certain concentrations, it is possible to establish a safe level (threshold) for classes of drugs with evidence for such mechanisms (see 5.2. below, </w:t>
      </w:r>
      <w:proofErr w:type="spellStart"/>
      <w:r w:rsidRPr="00C9399A">
        <w:rPr>
          <w:rFonts w:ascii="Century Schoolbook" w:hAnsi="Century Schoolbook"/>
          <w:kern w:val="0"/>
          <w:sz w:val="22"/>
          <w:szCs w:val="22"/>
        </w:rPr>
        <w:t>Müller</w:t>
      </w:r>
      <w:proofErr w:type="spellEnd"/>
      <w:r w:rsidRPr="00C9399A">
        <w:rPr>
          <w:rFonts w:ascii="Century Schoolbook" w:hAnsi="Century Schoolbook"/>
          <w:kern w:val="0"/>
          <w:sz w:val="22"/>
          <w:szCs w:val="22"/>
        </w:rPr>
        <w:t xml:space="preserve"> and Kasper, 2000; Scott et al., 1991; </w:t>
      </w:r>
      <w:proofErr w:type="spellStart"/>
      <w:r w:rsidRPr="00C9399A">
        <w:rPr>
          <w:rFonts w:ascii="Century Schoolbook" w:hAnsi="Century Schoolbook"/>
          <w:kern w:val="0"/>
          <w:sz w:val="22"/>
          <w:szCs w:val="22"/>
        </w:rPr>
        <w:t>Thybaud</w:t>
      </w:r>
      <w:proofErr w:type="spellEnd"/>
      <w:r w:rsidRPr="00C9399A">
        <w:rPr>
          <w:rFonts w:ascii="Century Schoolbook" w:hAnsi="Century Schoolbook"/>
          <w:kern w:val="0"/>
          <w:sz w:val="22"/>
          <w:szCs w:val="22"/>
        </w:rPr>
        <w:t xml:space="preserve"> et al., 2007).</w:t>
      </w:r>
    </w:p>
    <w:p w:rsidR="001D26BE" w:rsidRPr="0078046D" w:rsidRDefault="001D26BE" w:rsidP="00AA186A">
      <w:pPr>
        <w:pStyle w:val="Heading2"/>
        <w:numPr>
          <w:ilvl w:val="1"/>
          <w:numId w:val="36"/>
        </w:numPr>
        <w:spacing w:before="180" w:after="120"/>
        <w:ind w:left="720" w:hanging="720"/>
        <w:rPr>
          <w:rFonts w:ascii="Century Schoolbook" w:hAnsi="Century Schoolbook"/>
          <w:i w:val="0"/>
          <w:kern w:val="0"/>
          <w:sz w:val="22"/>
          <w:szCs w:val="22"/>
        </w:rPr>
      </w:pPr>
      <w:bookmarkStart w:id="86" w:name="_Toc309742205"/>
      <w:bookmarkStart w:id="87" w:name="_Toc309835303"/>
      <w:r w:rsidRPr="0078046D">
        <w:rPr>
          <w:rFonts w:ascii="Century Schoolbook" w:hAnsi="Century Schoolbook"/>
          <w:i w:val="0"/>
          <w:kern w:val="0"/>
          <w:sz w:val="22"/>
          <w:szCs w:val="22"/>
        </w:rPr>
        <w:t xml:space="preserve">Assessment </w:t>
      </w:r>
      <w:r w:rsidR="001303EB" w:rsidRPr="0078046D">
        <w:rPr>
          <w:rFonts w:ascii="Century Schoolbook" w:hAnsi="Century Schoolbook"/>
          <w:i w:val="0"/>
          <w:kern w:val="0"/>
          <w:sz w:val="22"/>
          <w:szCs w:val="22"/>
        </w:rPr>
        <w:t>of Biological Relevance</w:t>
      </w:r>
      <w:bookmarkEnd w:id="86"/>
      <w:bookmarkEnd w:id="87"/>
    </w:p>
    <w:p w:rsidR="001D26BE" w:rsidRPr="00C9399A" w:rsidRDefault="001D26BE" w:rsidP="00E44012">
      <w:pPr>
        <w:autoSpaceDE w:val="0"/>
        <w:autoSpaceDN w:val="0"/>
        <w:adjustRightInd w:val="0"/>
        <w:spacing w:after="120"/>
        <w:textAlignment w:val="bottom"/>
        <w:rPr>
          <w:rFonts w:ascii="Century Schoolbook" w:hAnsi="Century Schoolbook"/>
          <w:kern w:val="0"/>
          <w:sz w:val="22"/>
          <w:szCs w:val="22"/>
        </w:rPr>
      </w:pPr>
      <w:r w:rsidRPr="00C9399A">
        <w:rPr>
          <w:rFonts w:ascii="Century Schoolbook" w:hAnsi="Century Schoolbook"/>
          <w:kern w:val="0"/>
          <w:sz w:val="22"/>
          <w:szCs w:val="22"/>
        </w:rPr>
        <w:t>The recommendations below assume that the test has been conducted using appropriate spacing of doses, levels of toxicity etc.</w:t>
      </w:r>
    </w:p>
    <w:p w:rsidR="001D26BE" w:rsidRPr="00C9399A" w:rsidRDefault="001D26BE" w:rsidP="004A62F4">
      <w:pPr>
        <w:autoSpaceDE w:val="0"/>
        <w:autoSpaceDN w:val="0"/>
        <w:adjustRightInd w:val="0"/>
        <w:spacing w:after="120"/>
        <w:textAlignment w:val="bottom"/>
        <w:rPr>
          <w:rFonts w:ascii="Century Schoolbook" w:hAnsi="Century Schoolbook"/>
          <w:kern w:val="0"/>
          <w:sz w:val="22"/>
          <w:szCs w:val="22"/>
        </w:rPr>
      </w:pPr>
      <w:r w:rsidRPr="00C9399A">
        <w:rPr>
          <w:rFonts w:ascii="Century Schoolbook" w:hAnsi="Century Schoolbook"/>
          <w:kern w:val="0"/>
          <w:sz w:val="22"/>
          <w:szCs w:val="22"/>
        </w:rPr>
        <w:t xml:space="preserve">Small increases in apparent </w:t>
      </w:r>
      <w:proofErr w:type="spellStart"/>
      <w:r w:rsidRPr="00C9399A">
        <w:rPr>
          <w:rFonts w:ascii="Century Schoolbook" w:hAnsi="Century Schoolbook"/>
          <w:kern w:val="0"/>
          <w:sz w:val="22"/>
          <w:szCs w:val="22"/>
        </w:rPr>
        <w:t>genotoxicity</w:t>
      </w:r>
      <w:proofErr w:type="spellEnd"/>
      <w:r w:rsidRPr="00C9399A">
        <w:rPr>
          <w:rFonts w:ascii="Century Schoolbook" w:hAnsi="Century Schoolbook"/>
          <w:kern w:val="0"/>
          <w:sz w:val="22"/>
          <w:szCs w:val="22"/>
        </w:rPr>
        <w:t xml:space="preserve"> </w:t>
      </w:r>
      <w:r w:rsidRPr="00C9399A">
        <w:rPr>
          <w:rFonts w:ascii="Century Schoolbook" w:hAnsi="Century Schoolbook"/>
          <w:i/>
          <w:kern w:val="0"/>
          <w:sz w:val="22"/>
          <w:szCs w:val="22"/>
        </w:rPr>
        <w:t>in vitro</w:t>
      </w:r>
      <w:r w:rsidRPr="00C9399A">
        <w:rPr>
          <w:rFonts w:ascii="Century Schoolbook" w:hAnsi="Century Schoolbook"/>
          <w:kern w:val="0"/>
          <w:sz w:val="22"/>
          <w:szCs w:val="22"/>
        </w:rPr>
        <w:t xml:space="preserve"> or </w:t>
      </w:r>
      <w:r w:rsidRPr="00C9399A">
        <w:rPr>
          <w:rFonts w:ascii="Century Schoolbook" w:hAnsi="Century Schoolbook"/>
          <w:i/>
          <w:kern w:val="0"/>
          <w:sz w:val="22"/>
          <w:szCs w:val="22"/>
        </w:rPr>
        <w:t>in vivo</w:t>
      </w:r>
      <w:r w:rsidRPr="00C9399A">
        <w:rPr>
          <w:rFonts w:ascii="Century Schoolbook" w:hAnsi="Century Schoolbook"/>
          <w:kern w:val="0"/>
          <w:sz w:val="22"/>
          <w:szCs w:val="22"/>
        </w:rPr>
        <w:t xml:space="preserve"> should first be assessed for reproducibility and biological significance.  Examples of results that are not considered biologically meaningful include:</w:t>
      </w:r>
    </w:p>
    <w:p w:rsidR="001D26BE" w:rsidRPr="00C9399A" w:rsidRDefault="001D26BE" w:rsidP="004235DD">
      <w:pPr>
        <w:numPr>
          <w:ilvl w:val="0"/>
          <w:numId w:val="19"/>
        </w:numPr>
        <w:tabs>
          <w:tab w:val="clear" w:pos="1080"/>
          <w:tab w:val="left" w:pos="540"/>
        </w:tabs>
        <w:autoSpaceDE w:val="0"/>
        <w:autoSpaceDN w:val="0"/>
        <w:adjustRightInd w:val="0"/>
        <w:spacing w:after="120"/>
        <w:ind w:left="540"/>
        <w:textAlignment w:val="bottom"/>
        <w:rPr>
          <w:rFonts w:ascii="Century Schoolbook" w:hAnsi="Century Schoolbook"/>
          <w:kern w:val="0"/>
          <w:sz w:val="22"/>
          <w:szCs w:val="22"/>
        </w:rPr>
      </w:pPr>
      <w:r w:rsidRPr="00C9399A">
        <w:rPr>
          <w:rFonts w:ascii="Century Schoolbook" w:hAnsi="Century Schoolbook"/>
          <w:kern w:val="0"/>
          <w:sz w:val="22"/>
          <w:szCs w:val="22"/>
        </w:rPr>
        <w:t>Small increases that are statistically significant compared with the negative or solvent control values but are within the confidenc</w:t>
      </w:r>
      <w:r w:rsidR="00DA4303">
        <w:rPr>
          <w:rFonts w:ascii="Century Schoolbook" w:hAnsi="Century Schoolbook"/>
          <w:kern w:val="0"/>
          <w:sz w:val="22"/>
          <w:szCs w:val="22"/>
        </w:rPr>
        <w:t xml:space="preserve">e intervals of the appropriate </w:t>
      </w:r>
      <w:r w:rsidRPr="00C9399A">
        <w:rPr>
          <w:rFonts w:ascii="Century Schoolbook" w:hAnsi="Century Schoolbook"/>
          <w:kern w:val="0"/>
          <w:sz w:val="22"/>
          <w:szCs w:val="22"/>
        </w:rPr>
        <w:t>historical control values for the testing facility</w:t>
      </w:r>
      <w:r w:rsidR="00DA4303">
        <w:rPr>
          <w:rFonts w:ascii="Century Schoolbook" w:hAnsi="Century Schoolbook"/>
          <w:kern w:val="0"/>
          <w:sz w:val="22"/>
          <w:szCs w:val="22"/>
        </w:rPr>
        <w:t>.</w:t>
      </w:r>
    </w:p>
    <w:p w:rsidR="001D26BE" w:rsidRPr="00C9399A" w:rsidRDefault="001D26BE" w:rsidP="004235DD">
      <w:pPr>
        <w:numPr>
          <w:ilvl w:val="0"/>
          <w:numId w:val="19"/>
        </w:numPr>
        <w:tabs>
          <w:tab w:val="clear" w:pos="1080"/>
          <w:tab w:val="left" w:pos="540"/>
        </w:tabs>
        <w:autoSpaceDE w:val="0"/>
        <w:autoSpaceDN w:val="0"/>
        <w:adjustRightInd w:val="0"/>
        <w:spacing w:after="120"/>
        <w:ind w:left="540"/>
        <w:textAlignment w:val="bottom"/>
        <w:rPr>
          <w:rFonts w:ascii="Century Schoolbook" w:hAnsi="Century Schoolbook"/>
          <w:kern w:val="0"/>
          <w:sz w:val="22"/>
          <w:szCs w:val="22"/>
        </w:rPr>
      </w:pPr>
      <w:r w:rsidRPr="00C9399A">
        <w:rPr>
          <w:rFonts w:ascii="Century Schoolbook" w:hAnsi="Century Schoolbook"/>
          <w:kern w:val="0"/>
          <w:sz w:val="22"/>
          <w:szCs w:val="22"/>
        </w:rPr>
        <w:lastRenderedPageBreak/>
        <w:t xml:space="preserve">Weak/equivocal responses </w:t>
      </w:r>
      <w:proofErr w:type="gramStart"/>
      <w:r w:rsidRPr="00C9399A">
        <w:rPr>
          <w:rFonts w:ascii="Century Schoolbook" w:hAnsi="Century Schoolbook"/>
          <w:kern w:val="0"/>
          <w:sz w:val="22"/>
          <w:szCs w:val="22"/>
        </w:rPr>
        <w:t>that are</w:t>
      </w:r>
      <w:proofErr w:type="gramEnd"/>
      <w:r w:rsidRPr="00C9399A">
        <w:rPr>
          <w:rFonts w:ascii="Century Schoolbook" w:hAnsi="Century Schoolbook"/>
          <w:kern w:val="0"/>
          <w:sz w:val="22"/>
          <w:szCs w:val="22"/>
        </w:rPr>
        <w:t xml:space="preserve"> not reproducible</w:t>
      </w:r>
      <w:r w:rsidR="00DA4303">
        <w:rPr>
          <w:rFonts w:ascii="Century Schoolbook" w:hAnsi="Century Schoolbook"/>
          <w:kern w:val="0"/>
          <w:sz w:val="22"/>
          <w:szCs w:val="22"/>
        </w:rPr>
        <w:t>.</w:t>
      </w:r>
    </w:p>
    <w:p w:rsidR="001D26BE" w:rsidRPr="00C9399A" w:rsidRDefault="001D26BE" w:rsidP="00E44012">
      <w:pPr>
        <w:autoSpaceDE w:val="0"/>
        <w:autoSpaceDN w:val="0"/>
        <w:adjustRightInd w:val="0"/>
        <w:spacing w:after="120"/>
        <w:textAlignment w:val="bottom"/>
        <w:rPr>
          <w:rFonts w:ascii="Century Schoolbook" w:hAnsi="Century Schoolbook"/>
          <w:kern w:val="0"/>
          <w:sz w:val="22"/>
          <w:szCs w:val="22"/>
        </w:rPr>
      </w:pPr>
      <w:r w:rsidRPr="00C9399A">
        <w:rPr>
          <w:rFonts w:ascii="Century Schoolbook" w:hAnsi="Century Schoolbook"/>
          <w:kern w:val="0"/>
          <w:sz w:val="22"/>
          <w:szCs w:val="22"/>
        </w:rPr>
        <w:t xml:space="preserve">If either of the above conditions applies, the weight of evidence indicates a lack of </w:t>
      </w:r>
      <w:proofErr w:type="spellStart"/>
      <w:r w:rsidRPr="00C9399A">
        <w:rPr>
          <w:rFonts w:ascii="Century Schoolbook" w:hAnsi="Century Schoolbook"/>
          <w:kern w:val="0"/>
          <w:sz w:val="22"/>
          <w:szCs w:val="22"/>
        </w:rPr>
        <w:t>genotoxic</w:t>
      </w:r>
      <w:proofErr w:type="spellEnd"/>
      <w:r w:rsidRPr="00C9399A">
        <w:rPr>
          <w:rFonts w:ascii="Century Schoolbook" w:hAnsi="Century Schoolbook"/>
          <w:kern w:val="0"/>
          <w:sz w:val="22"/>
          <w:szCs w:val="22"/>
        </w:rPr>
        <w:t xml:space="preserve"> potential, the test is considered negative or the findings not biologically relevant, and no further testing is called for.</w:t>
      </w:r>
    </w:p>
    <w:p w:rsidR="001D26BE" w:rsidRPr="0078046D" w:rsidRDefault="001D26BE" w:rsidP="00AA186A">
      <w:pPr>
        <w:pStyle w:val="Heading2"/>
        <w:numPr>
          <w:ilvl w:val="1"/>
          <w:numId w:val="36"/>
        </w:numPr>
        <w:spacing w:before="180" w:after="120"/>
        <w:ind w:left="720" w:hanging="720"/>
        <w:rPr>
          <w:rFonts w:ascii="Century Schoolbook" w:hAnsi="Century Schoolbook"/>
          <w:bCs w:val="0"/>
          <w:i w:val="0"/>
          <w:kern w:val="0"/>
          <w:sz w:val="22"/>
          <w:szCs w:val="22"/>
        </w:rPr>
      </w:pPr>
      <w:bookmarkStart w:id="88" w:name="_Toc309742206"/>
      <w:bookmarkStart w:id="89" w:name="_Toc309835304"/>
      <w:r w:rsidRPr="0078046D">
        <w:rPr>
          <w:rFonts w:ascii="Century Schoolbook" w:hAnsi="Century Schoolbook"/>
          <w:i w:val="0"/>
          <w:kern w:val="0"/>
          <w:sz w:val="22"/>
          <w:szCs w:val="22"/>
        </w:rPr>
        <w:t xml:space="preserve">Evaluation </w:t>
      </w:r>
      <w:r w:rsidR="001303EB" w:rsidRPr="0078046D">
        <w:rPr>
          <w:rFonts w:ascii="Century Schoolbook" w:hAnsi="Century Schoolbook"/>
          <w:i w:val="0"/>
          <w:kern w:val="0"/>
          <w:sz w:val="22"/>
          <w:szCs w:val="22"/>
        </w:rPr>
        <w:t>of Results Obtained in</w:t>
      </w:r>
      <w:r w:rsidR="001303EB" w:rsidRPr="0078046D">
        <w:rPr>
          <w:rFonts w:ascii="Century Schoolbook" w:hAnsi="Century Schoolbook"/>
          <w:bCs w:val="0"/>
          <w:i w:val="0"/>
          <w:kern w:val="0"/>
          <w:sz w:val="22"/>
          <w:szCs w:val="22"/>
        </w:rPr>
        <w:t xml:space="preserve"> </w:t>
      </w:r>
      <w:proofErr w:type="spellStart"/>
      <w:r w:rsidR="001D2B20" w:rsidRPr="001D2B20">
        <w:rPr>
          <w:rFonts w:ascii="Century Schoolbook" w:hAnsi="Century Schoolbook"/>
          <w:bCs w:val="0"/>
          <w:kern w:val="0"/>
          <w:sz w:val="22"/>
          <w:szCs w:val="22"/>
        </w:rPr>
        <w:t>In</w:t>
      </w:r>
      <w:proofErr w:type="spellEnd"/>
      <w:r w:rsidR="001D2B20" w:rsidRPr="001D2B20">
        <w:rPr>
          <w:rFonts w:ascii="Century Schoolbook" w:hAnsi="Century Schoolbook"/>
          <w:bCs w:val="0"/>
          <w:kern w:val="0"/>
          <w:sz w:val="22"/>
          <w:szCs w:val="22"/>
        </w:rPr>
        <w:t xml:space="preserve"> Vitro</w:t>
      </w:r>
      <w:r w:rsidR="001303EB" w:rsidRPr="0078046D">
        <w:rPr>
          <w:rFonts w:ascii="Century Schoolbook" w:hAnsi="Century Schoolbook"/>
          <w:bCs w:val="0"/>
          <w:i w:val="0"/>
          <w:kern w:val="0"/>
          <w:sz w:val="22"/>
          <w:szCs w:val="22"/>
        </w:rPr>
        <w:t xml:space="preserve"> Tests</w:t>
      </w:r>
      <w:bookmarkEnd w:id="88"/>
      <w:bookmarkEnd w:id="89"/>
    </w:p>
    <w:p w:rsidR="001D26BE" w:rsidRPr="00C9399A" w:rsidRDefault="001D26BE" w:rsidP="00E44012">
      <w:pPr>
        <w:autoSpaceDE w:val="0"/>
        <w:autoSpaceDN w:val="0"/>
        <w:adjustRightInd w:val="0"/>
        <w:spacing w:after="120"/>
        <w:textAlignment w:val="bottom"/>
        <w:rPr>
          <w:rFonts w:ascii="Century Schoolbook" w:hAnsi="Century Schoolbook"/>
          <w:kern w:val="0"/>
          <w:sz w:val="22"/>
          <w:szCs w:val="22"/>
        </w:rPr>
      </w:pPr>
      <w:r w:rsidRPr="00C9399A">
        <w:rPr>
          <w:rFonts w:ascii="Century Schoolbook" w:hAnsi="Century Schoolbook"/>
          <w:kern w:val="0"/>
          <w:sz w:val="22"/>
          <w:szCs w:val="22"/>
        </w:rPr>
        <w:t xml:space="preserve">In evaluating positive results, especially for the microbial </w:t>
      </w:r>
      <w:proofErr w:type="spellStart"/>
      <w:r w:rsidRPr="00C9399A">
        <w:rPr>
          <w:rFonts w:ascii="Century Schoolbook" w:hAnsi="Century Schoolbook"/>
          <w:kern w:val="0"/>
          <w:sz w:val="22"/>
          <w:szCs w:val="22"/>
        </w:rPr>
        <w:t>mutagenicity</w:t>
      </w:r>
      <w:proofErr w:type="spellEnd"/>
      <w:r w:rsidRPr="00C9399A">
        <w:rPr>
          <w:rFonts w:ascii="Century Schoolbook" w:hAnsi="Century Schoolbook"/>
          <w:kern w:val="0"/>
          <w:sz w:val="22"/>
          <w:szCs w:val="22"/>
        </w:rPr>
        <w:t xml:space="preserve"> test, the purity of the test compound should be considered, to determine whether the positive result could be attributable to a contaminant.</w:t>
      </w:r>
    </w:p>
    <w:p w:rsidR="001D26BE" w:rsidRPr="008B2ED1" w:rsidRDefault="001D26BE" w:rsidP="008B2ED1">
      <w:pPr>
        <w:pStyle w:val="Heading3"/>
        <w:numPr>
          <w:ilvl w:val="2"/>
          <w:numId w:val="36"/>
        </w:numPr>
        <w:spacing w:before="120"/>
        <w:rPr>
          <w:rFonts w:ascii="Century Schoolbook" w:hAnsi="Century Schoolbook"/>
          <w:bCs w:val="0"/>
          <w:kern w:val="0"/>
          <w:sz w:val="22"/>
          <w:szCs w:val="22"/>
        </w:rPr>
      </w:pPr>
      <w:bookmarkStart w:id="90" w:name="_Toc309742207"/>
      <w:bookmarkStart w:id="91" w:name="_Toc309835305"/>
      <w:r w:rsidRPr="008B2ED1">
        <w:rPr>
          <w:rFonts w:ascii="Century Schoolbook" w:hAnsi="Century Schoolbook"/>
          <w:bCs w:val="0"/>
          <w:i/>
          <w:kern w:val="0"/>
          <w:sz w:val="22"/>
          <w:szCs w:val="22"/>
        </w:rPr>
        <w:t xml:space="preserve">Evaluation </w:t>
      </w:r>
      <w:r w:rsidR="001303EB" w:rsidRPr="008B2ED1">
        <w:rPr>
          <w:rFonts w:ascii="Century Schoolbook" w:hAnsi="Century Schoolbook"/>
          <w:bCs w:val="0"/>
          <w:i/>
          <w:kern w:val="0"/>
          <w:sz w:val="22"/>
          <w:szCs w:val="22"/>
        </w:rPr>
        <w:t xml:space="preserve">of Positive Results Obtained </w:t>
      </w:r>
      <w:r w:rsidR="001D2B20" w:rsidRPr="001D2B20">
        <w:rPr>
          <w:rFonts w:ascii="Century Schoolbook" w:hAnsi="Century Schoolbook"/>
          <w:bCs w:val="0"/>
          <w:i/>
          <w:kern w:val="0"/>
          <w:sz w:val="22"/>
          <w:szCs w:val="22"/>
        </w:rPr>
        <w:t>In Vitro</w:t>
      </w:r>
      <w:r w:rsidR="001303EB" w:rsidRPr="008B2ED1">
        <w:rPr>
          <w:rFonts w:ascii="Century Schoolbook" w:hAnsi="Century Schoolbook"/>
          <w:bCs w:val="0"/>
          <w:i/>
          <w:kern w:val="0"/>
          <w:sz w:val="22"/>
          <w:szCs w:val="22"/>
        </w:rPr>
        <w:t xml:space="preserve"> in a B</w:t>
      </w:r>
      <w:r w:rsidR="001303EB" w:rsidRPr="008B2ED1">
        <w:rPr>
          <w:rFonts w:ascii="Century Schoolbook" w:hAnsi="Century Schoolbook"/>
          <w:i/>
          <w:kern w:val="0"/>
          <w:sz w:val="22"/>
          <w:szCs w:val="22"/>
        </w:rPr>
        <w:t>acterial Mutation Assay</w:t>
      </w:r>
      <w:bookmarkEnd w:id="90"/>
      <w:bookmarkEnd w:id="91"/>
    </w:p>
    <w:p w:rsidR="001D26BE" w:rsidRPr="00C9399A" w:rsidRDefault="001D26BE" w:rsidP="004A62F4">
      <w:pPr>
        <w:autoSpaceDE w:val="0"/>
        <w:autoSpaceDN w:val="0"/>
        <w:adjustRightInd w:val="0"/>
        <w:spacing w:after="120"/>
        <w:textAlignment w:val="bottom"/>
        <w:rPr>
          <w:rFonts w:ascii="Century Schoolbook" w:hAnsi="Century Schoolbook"/>
          <w:kern w:val="0"/>
          <w:sz w:val="22"/>
          <w:szCs w:val="22"/>
        </w:rPr>
      </w:pPr>
      <w:r w:rsidRPr="00C9399A">
        <w:rPr>
          <w:rFonts w:ascii="Century Schoolbook" w:hAnsi="Century Schoolbook"/>
          <w:kern w:val="0"/>
          <w:sz w:val="22"/>
          <w:szCs w:val="22"/>
        </w:rPr>
        <w:t xml:space="preserve">Since positive results in the Ames test are thought to indicate DNA reactivity, extensive follow-up testing to assess the </w:t>
      </w:r>
      <w:r w:rsidRPr="00C9399A">
        <w:rPr>
          <w:rFonts w:ascii="Century Schoolbook" w:hAnsi="Century Schoolbook"/>
          <w:i/>
          <w:kern w:val="0"/>
          <w:sz w:val="22"/>
          <w:szCs w:val="22"/>
        </w:rPr>
        <w:t>in vivo</w:t>
      </w:r>
      <w:r w:rsidRPr="00C9399A">
        <w:rPr>
          <w:rFonts w:ascii="Century Schoolbook" w:hAnsi="Century Schoolbook"/>
          <w:kern w:val="0"/>
          <w:sz w:val="22"/>
          <w:szCs w:val="22"/>
        </w:rPr>
        <w:t xml:space="preserve"> mutagenic and carcinogenic potential would be warranted to assess the potential risk for treatment of patients, unless justified by appropriate risk-benefit analysis. </w:t>
      </w:r>
    </w:p>
    <w:p w:rsidR="001D26BE" w:rsidRPr="00C9399A" w:rsidRDefault="001D26BE" w:rsidP="004A62F4">
      <w:pPr>
        <w:autoSpaceDE w:val="0"/>
        <w:autoSpaceDN w:val="0"/>
        <w:adjustRightInd w:val="0"/>
        <w:spacing w:after="120"/>
        <w:textAlignment w:val="bottom"/>
        <w:rPr>
          <w:rFonts w:ascii="Century Schoolbook" w:hAnsi="Century Schoolbook"/>
          <w:kern w:val="0"/>
          <w:sz w:val="22"/>
          <w:szCs w:val="22"/>
        </w:rPr>
      </w:pPr>
      <w:r w:rsidRPr="00C9399A">
        <w:rPr>
          <w:rFonts w:ascii="Century Schoolbook" w:hAnsi="Century Schoolbook"/>
          <w:kern w:val="0"/>
          <w:sz w:val="22"/>
          <w:szCs w:val="22"/>
        </w:rPr>
        <w:t xml:space="preserve">There are some well characterized examples of </w:t>
      </w:r>
      <w:proofErr w:type="spellStart"/>
      <w:r w:rsidRPr="00C9399A">
        <w:rPr>
          <w:rFonts w:ascii="Century Schoolbook" w:hAnsi="Century Schoolbook"/>
          <w:kern w:val="0"/>
          <w:sz w:val="22"/>
          <w:szCs w:val="22"/>
        </w:rPr>
        <w:t>artifactual</w:t>
      </w:r>
      <w:proofErr w:type="spellEnd"/>
      <w:r w:rsidRPr="00C9399A">
        <w:rPr>
          <w:rFonts w:ascii="Century Schoolbook" w:hAnsi="Century Schoolbook"/>
          <w:kern w:val="0"/>
          <w:sz w:val="22"/>
          <w:szCs w:val="22"/>
        </w:rPr>
        <w:t xml:space="preserve"> increases in colonies that are not truly </w:t>
      </w:r>
      <w:proofErr w:type="spellStart"/>
      <w:r w:rsidRPr="00C9399A">
        <w:rPr>
          <w:rFonts w:ascii="Century Schoolbook" w:hAnsi="Century Schoolbook"/>
          <w:kern w:val="0"/>
          <w:sz w:val="22"/>
          <w:szCs w:val="22"/>
        </w:rPr>
        <w:t>revertants</w:t>
      </w:r>
      <w:proofErr w:type="spellEnd"/>
      <w:r w:rsidRPr="00C9399A">
        <w:rPr>
          <w:rFonts w:ascii="Century Schoolbook" w:hAnsi="Century Schoolbook"/>
          <w:kern w:val="0"/>
          <w:sz w:val="22"/>
          <w:szCs w:val="22"/>
        </w:rPr>
        <w:t>.  These can occur due to contamination with amino acids (i.e.</w:t>
      </w:r>
      <w:r w:rsidR="00DB33C4">
        <w:rPr>
          <w:rFonts w:ascii="Century Schoolbook" w:hAnsi="Century Schoolbook"/>
          <w:kern w:val="0"/>
          <w:sz w:val="22"/>
          <w:szCs w:val="22"/>
        </w:rPr>
        <w:t>,</w:t>
      </w:r>
      <w:r w:rsidRPr="00C9399A">
        <w:rPr>
          <w:rFonts w:ascii="Century Schoolbook" w:hAnsi="Century Schoolbook"/>
          <w:kern w:val="0"/>
          <w:sz w:val="22"/>
          <w:szCs w:val="22"/>
        </w:rPr>
        <w:t xml:space="preserve"> providing </w:t>
      </w:r>
      <w:proofErr w:type="spellStart"/>
      <w:r w:rsidRPr="00C9399A">
        <w:rPr>
          <w:rFonts w:ascii="Century Schoolbook" w:hAnsi="Century Schoolbook"/>
          <w:kern w:val="0"/>
          <w:sz w:val="22"/>
          <w:szCs w:val="22"/>
        </w:rPr>
        <w:t>histidine</w:t>
      </w:r>
      <w:proofErr w:type="spellEnd"/>
      <w:r w:rsidRPr="00C9399A">
        <w:rPr>
          <w:rFonts w:ascii="Century Schoolbook" w:hAnsi="Century Schoolbook"/>
          <w:kern w:val="0"/>
          <w:sz w:val="22"/>
          <w:szCs w:val="22"/>
        </w:rPr>
        <w:t xml:space="preserve"> for </w:t>
      </w:r>
      <w:r w:rsidRPr="00C9399A">
        <w:rPr>
          <w:rFonts w:ascii="Century Schoolbook" w:hAnsi="Century Schoolbook"/>
          <w:i/>
          <w:kern w:val="0"/>
          <w:sz w:val="22"/>
          <w:szCs w:val="22"/>
        </w:rPr>
        <w:t xml:space="preserve">Salmonella </w:t>
      </w:r>
      <w:proofErr w:type="spellStart"/>
      <w:r w:rsidRPr="00C9399A">
        <w:rPr>
          <w:rFonts w:ascii="Century Schoolbook" w:hAnsi="Century Schoolbook"/>
          <w:i/>
          <w:kern w:val="0"/>
          <w:sz w:val="22"/>
          <w:szCs w:val="22"/>
        </w:rPr>
        <w:t>typhimurium</w:t>
      </w:r>
      <w:proofErr w:type="spellEnd"/>
      <w:r w:rsidRPr="00C9399A">
        <w:rPr>
          <w:rFonts w:ascii="Century Schoolbook" w:hAnsi="Century Schoolbook"/>
          <w:kern w:val="0"/>
          <w:sz w:val="22"/>
          <w:szCs w:val="22"/>
        </w:rPr>
        <w:t xml:space="preserve"> strains or tryptophan for </w:t>
      </w:r>
      <w:r w:rsidRPr="00C9399A">
        <w:rPr>
          <w:rFonts w:ascii="Century Schoolbook" w:hAnsi="Century Schoolbook"/>
          <w:i/>
          <w:kern w:val="0"/>
          <w:sz w:val="22"/>
          <w:szCs w:val="22"/>
        </w:rPr>
        <w:t xml:space="preserve">Escherichia coli </w:t>
      </w:r>
      <w:r w:rsidRPr="00C9399A">
        <w:rPr>
          <w:rFonts w:ascii="Century Schoolbook" w:hAnsi="Century Schoolbook"/>
          <w:kern w:val="0"/>
          <w:sz w:val="22"/>
          <w:szCs w:val="22"/>
        </w:rPr>
        <w:t xml:space="preserve">strains), so that the bacterial reversion assay is not suitable for testing a peptide that is likely to degrade.  Certain cases exist where positive results in bacterial mutation assays might be shown not to indicate </w:t>
      </w:r>
      <w:proofErr w:type="spellStart"/>
      <w:r w:rsidRPr="00C9399A">
        <w:rPr>
          <w:rFonts w:ascii="Century Schoolbook" w:hAnsi="Century Schoolbook"/>
          <w:kern w:val="0"/>
          <w:sz w:val="22"/>
          <w:szCs w:val="22"/>
        </w:rPr>
        <w:t>genotoxic</w:t>
      </w:r>
      <w:proofErr w:type="spellEnd"/>
      <w:r w:rsidRPr="00C9399A">
        <w:rPr>
          <w:rFonts w:ascii="Century Schoolbook" w:hAnsi="Century Schoolbook"/>
          <w:kern w:val="0"/>
          <w:sz w:val="22"/>
          <w:szCs w:val="22"/>
        </w:rPr>
        <w:t xml:space="preserve"> potential </w:t>
      </w:r>
      <w:r w:rsidRPr="00C9399A">
        <w:rPr>
          <w:rFonts w:ascii="Century Schoolbook" w:hAnsi="Century Schoolbook"/>
          <w:i/>
          <w:kern w:val="0"/>
          <w:sz w:val="22"/>
          <w:szCs w:val="22"/>
        </w:rPr>
        <w:t>in vivo</w:t>
      </w:r>
      <w:r w:rsidRPr="00C9399A">
        <w:rPr>
          <w:rFonts w:ascii="Century Schoolbook" w:hAnsi="Century Schoolbook"/>
          <w:kern w:val="0"/>
          <w:sz w:val="22"/>
          <w:szCs w:val="22"/>
        </w:rPr>
        <w:t xml:space="preserve"> in humans, for example when bacterial-specific metabolism occurs, such as activation by bacterial </w:t>
      </w:r>
      <w:proofErr w:type="spellStart"/>
      <w:r w:rsidRPr="00C9399A">
        <w:rPr>
          <w:rFonts w:ascii="Century Schoolbook" w:hAnsi="Century Schoolbook"/>
          <w:kern w:val="0"/>
          <w:sz w:val="22"/>
          <w:szCs w:val="22"/>
        </w:rPr>
        <w:t>nitroreductases</w:t>
      </w:r>
      <w:proofErr w:type="spellEnd"/>
      <w:r w:rsidRPr="00C9399A">
        <w:rPr>
          <w:rFonts w:ascii="Century Schoolbook" w:hAnsi="Century Schoolbook"/>
          <w:kern w:val="0"/>
          <w:sz w:val="22"/>
          <w:szCs w:val="22"/>
        </w:rPr>
        <w:t>.</w:t>
      </w:r>
    </w:p>
    <w:p w:rsidR="001D26BE" w:rsidRPr="008B2ED1" w:rsidRDefault="001D26BE" w:rsidP="008B2ED1">
      <w:pPr>
        <w:pStyle w:val="Heading3"/>
        <w:numPr>
          <w:ilvl w:val="2"/>
          <w:numId w:val="36"/>
        </w:numPr>
        <w:spacing w:before="120"/>
        <w:rPr>
          <w:rFonts w:ascii="Century Schoolbook" w:hAnsi="Century Schoolbook"/>
          <w:i/>
          <w:kern w:val="0"/>
          <w:sz w:val="22"/>
          <w:szCs w:val="22"/>
        </w:rPr>
      </w:pPr>
      <w:bookmarkStart w:id="92" w:name="_Toc309742208"/>
      <w:bookmarkStart w:id="93" w:name="_Toc309835306"/>
      <w:r w:rsidRPr="008B2ED1">
        <w:rPr>
          <w:rFonts w:ascii="Century Schoolbook" w:hAnsi="Century Schoolbook"/>
          <w:bCs w:val="0"/>
          <w:i/>
          <w:kern w:val="0"/>
          <w:sz w:val="22"/>
          <w:szCs w:val="22"/>
        </w:rPr>
        <w:t xml:space="preserve">Evaluation </w:t>
      </w:r>
      <w:r w:rsidR="001303EB" w:rsidRPr="008B2ED1">
        <w:rPr>
          <w:rFonts w:ascii="Century Schoolbook" w:hAnsi="Century Schoolbook"/>
          <w:bCs w:val="0"/>
          <w:i/>
          <w:kern w:val="0"/>
          <w:sz w:val="22"/>
          <w:szCs w:val="22"/>
        </w:rPr>
        <w:t xml:space="preserve">of Positive Results Obtained </w:t>
      </w:r>
      <w:r w:rsidR="001D2B20">
        <w:rPr>
          <w:rFonts w:ascii="Century Schoolbook" w:hAnsi="Century Schoolbook"/>
          <w:bCs w:val="0"/>
          <w:i/>
          <w:kern w:val="0"/>
          <w:sz w:val="22"/>
          <w:szCs w:val="22"/>
        </w:rPr>
        <w:t>In V</w:t>
      </w:r>
      <w:r w:rsidR="001303EB" w:rsidRPr="008B2ED1">
        <w:rPr>
          <w:rFonts w:ascii="Century Schoolbook" w:hAnsi="Century Schoolbook"/>
          <w:bCs w:val="0"/>
          <w:i/>
          <w:kern w:val="0"/>
          <w:sz w:val="22"/>
          <w:szCs w:val="22"/>
        </w:rPr>
        <w:t xml:space="preserve">itro in </w:t>
      </w:r>
      <w:r w:rsidR="001303EB" w:rsidRPr="008B2ED1">
        <w:rPr>
          <w:rFonts w:ascii="Century Schoolbook" w:hAnsi="Century Schoolbook"/>
          <w:i/>
          <w:kern w:val="0"/>
          <w:sz w:val="22"/>
          <w:szCs w:val="22"/>
        </w:rPr>
        <w:t>Mammalian Cell Assays</w:t>
      </w:r>
      <w:bookmarkEnd w:id="92"/>
      <w:bookmarkEnd w:id="93"/>
    </w:p>
    <w:p w:rsidR="001D26BE" w:rsidRPr="00C9399A" w:rsidRDefault="001D26BE" w:rsidP="004A62F4">
      <w:pPr>
        <w:autoSpaceDE w:val="0"/>
        <w:autoSpaceDN w:val="0"/>
        <w:adjustRightInd w:val="0"/>
        <w:spacing w:after="120"/>
        <w:textAlignment w:val="bottom"/>
        <w:rPr>
          <w:rFonts w:ascii="Century Schoolbook" w:hAnsi="Century Schoolbook"/>
          <w:kern w:val="0"/>
          <w:sz w:val="22"/>
          <w:szCs w:val="22"/>
        </w:rPr>
      </w:pPr>
      <w:r w:rsidRPr="00C9399A">
        <w:rPr>
          <w:rFonts w:ascii="Century Schoolbook" w:hAnsi="Century Schoolbook"/>
          <w:iCs/>
          <w:kern w:val="0"/>
          <w:sz w:val="22"/>
          <w:szCs w:val="22"/>
        </w:rPr>
        <w:t xml:space="preserve">Recommendations for assessing weight of evidence and follow-up testing for positive </w:t>
      </w:r>
      <w:proofErr w:type="spellStart"/>
      <w:r w:rsidRPr="00C9399A">
        <w:rPr>
          <w:rFonts w:ascii="Century Schoolbook" w:hAnsi="Century Schoolbook"/>
          <w:iCs/>
          <w:kern w:val="0"/>
          <w:sz w:val="22"/>
          <w:szCs w:val="22"/>
        </w:rPr>
        <w:t>genotoxicity</w:t>
      </w:r>
      <w:proofErr w:type="spellEnd"/>
      <w:r w:rsidRPr="00C9399A">
        <w:rPr>
          <w:rFonts w:ascii="Century Schoolbook" w:hAnsi="Century Schoolbook"/>
          <w:iCs/>
          <w:kern w:val="0"/>
          <w:sz w:val="22"/>
          <w:szCs w:val="22"/>
        </w:rPr>
        <w:t xml:space="preserve"> results are discussed in IWGT reports (e.g., </w:t>
      </w:r>
      <w:proofErr w:type="spellStart"/>
      <w:r w:rsidRPr="00C9399A">
        <w:rPr>
          <w:rFonts w:ascii="Century Schoolbook" w:hAnsi="Century Schoolbook"/>
          <w:iCs/>
          <w:kern w:val="0"/>
          <w:sz w:val="22"/>
          <w:szCs w:val="22"/>
        </w:rPr>
        <w:t>Thybaud</w:t>
      </w:r>
      <w:proofErr w:type="spellEnd"/>
      <w:r w:rsidRPr="00C9399A">
        <w:rPr>
          <w:rFonts w:ascii="Century Schoolbook" w:hAnsi="Century Schoolbook"/>
          <w:iCs/>
          <w:kern w:val="0"/>
          <w:sz w:val="22"/>
          <w:szCs w:val="22"/>
        </w:rPr>
        <w:t xml:space="preserve"> et al., 2007).  </w:t>
      </w:r>
      <w:r w:rsidRPr="00C9399A">
        <w:rPr>
          <w:rFonts w:ascii="Century Schoolbook" w:hAnsi="Century Schoolbook"/>
          <w:bCs/>
          <w:kern w:val="0"/>
          <w:sz w:val="22"/>
          <w:szCs w:val="22"/>
        </w:rPr>
        <w:t>In addition, t</w:t>
      </w:r>
      <w:r w:rsidRPr="00C9399A">
        <w:rPr>
          <w:rFonts w:ascii="Century Schoolbook" w:hAnsi="Century Schoolbook"/>
          <w:kern w:val="0"/>
          <w:sz w:val="22"/>
          <w:szCs w:val="22"/>
        </w:rPr>
        <w:t xml:space="preserve">he scientific literature gives a number of conditions that can lead to a positive </w:t>
      </w:r>
      <w:r w:rsidRPr="00C9399A">
        <w:rPr>
          <w:rFonts w:ascii="Century Schoolbook" w:hAnsi="Century Schoolbook"/>
          <w:i/>
          <w:iCs/>
          <w:kern w:val="0"/>
          <w:sz w:val="22"/>
          <w:szCs w:val="22"/>
        </w:rPr>
        <w:t xml:space="preserve">in vitro </w:t>
      </w:r>
      <w:r w:rsidRPr="00C9399A">
        <w:rPr>
          <w:rFonts w:ascii="Century Schoolbook" w:hAnsi="Century Schoolbook"/>
          <w:kern w:val="0"/>
          <w:sz w:val="22"/>
          <w:szCs w:val="22"/>
        </w:rPr>
        <w:t xml:space="preserve">result of questionable relevance.  Therefore, any </w:t>
      </w:r>
      <w:r w:rsidRPr="00C9399A">
        <w:rPr>
          <w:rFonts w:ascii="Century Schoolbook" w:hAnsi="Century Schoolbook"/>
          <w:i/>
          <w:iCs/>
          <w:kern w:val="0"/>
          <w:sz w:val="22"/>
          <w:szCs w:val="22"/>
        </w:rPr>
        <w:t xml:space="preserve">in vitro </w:t>
      </w:r>
      <w:r w:rsidRPr="00C9399A">
        <w:rPr>
          <w:rFonts w:ascii="Century Schoolbook" w:hAnsi="Century Schoolbook"/>
          <w:kern w:val="0"/>
          <w:sz w:val="22"/>
          <w:szCs w:val="22"/>
        </w:rPr>
        <w:t>positive test result should be evaluated based on an assessment of the weight of evidence as indicated below.  This list is not exhaustive, but is given as an aid to decision-making.</w:t>
      </w:r>
    </w:p>
    <w:p w:rsidR="001D26BE" w:rsidRPr="00C9399A" w:rsidRDefault="001D26BE" w:rsidP="004235DD">
      <w:pPr>
        <w:numPr>
          <w:ilvl w:val="0"/>
          <w:numId w:val="21"/>
        </w:numPr>
        <w:tabs>
          <w:tab w:val="clear" w:pos="1080"/>
          <w:tab w:val="num" w:pos="540"/>
        </w:tabs>
        <w:autoSpaceDE w:val="0"/>
        <w:autoSpaceDN w:val="0"/>
        <w:adjustRightInd w:val="0"/>
        <w:spacing w:after="120"/>
        <w:ind w:left="540"/>
        <w:textAlignment w:val="bottom"/>
        <w:rPr>
          <w:rFonts w:ascii="Century Schoolbook" w:hAnsi="Century Schoolbook"/>
          <w:kern w:val="0"/>
          <w:sz w:val="22"/>
          <w:szCs w:val="22"/>
        </w:rPr>
      </w:pPr>
      <w:r w:rsidRPr="00C9399A">
        <w:rPr>
          <w:rFonts w:ascii="Century Schoolbook" w:hAnsi="Century Schoolbook"/>
          <w:kern w:val="0"/>
          <w:sz w:val="22"/>
          <w:szCs w:val="22"/>
        </w:rPr>
        <w:t xml:space="preserve">The conditions do not occur </w:t>
      </w:r>
      <w:r w:rsidRPr="00C9399A">
        <w:rPr>
          <w:rFonts w:ascii="Century Schoolbook" w:hAnsi="Century Schoolbook"/>
          <w:i/>
          <w:iCs/>
          <w:kern w:val="0"/>
          <w:sz w:val="22"/>
          <w:szCs w:val="22"/>
        </w:rPr>
        <w:t>in vivo</w:t>
      </w:r>
      <w:r w:rsidRPr="00C9399A">
        <w:rPr>
          <w:rFonts w:ascii="Century Schoolbook" w:hAnsi="Century Schoolbook"/>
          <w:kern w:val="0"/>
          <w:sz w:val="22"/>
          <w:szCs w:val="22"/>
        </w:rPr>
        <w:t xml:space="preserve"> (pH; </w:t>
      </w:r>
      <w:proofErr w:type="spellStart"/>
      <w:r w:rsidRPr="00C9399A">
        <w:rPr>
          <w:rFonts w:ascii="Century Schoolbook" w:hAnsi="Century Schoolbook"/>
          <w:kern w:val="0"/>
          <w:sz w:val="22"/>
          <w:szCs w:val="22"/>
        </w:rPr>
        <w:t>osmolality</w:t>
      </w:r>
      <w:proofErr w:type="spellEnd"/>
      <w:r w:rsidRPr="00C9399A">
        <w:rPr>
          <w:rFonts w:ascii="Century Schoolbook" w:hAnsi="Century Schoolbook"/>
          <w:kern w:val="0"/>
          <w:sz w:val="22"/>
          <w:szCs w:val="22"/>
        </w:rPr>
        <w:t>; precipitates)</w:t>
      </w:r>
      <w:r w:rsidR="00DA4303">
        <w:rPr>
          <w:rFonts w:ascii="Century Schoolbook" w:hAnsi="Century Schoolbook"/>
          <w:kern w:val="0"/>
          <w:sz w:val="22"/>
          <w:szCs w:val="22"/>
        </w:rPr>
        <w:t>.</w:t>
      </w:r>
    </w:p>
    <w:p w:rsidR="001D26BE" w:rsidRPr="00C9399A" w:rsidRDefault="001D26BE" w:rsidP="00DA4303">
      <w:pPr>
        <w:autoSpaceDE w:val="0"/>
        <w:autoSpaceDN w:val="0"/>
        <w:adjustRightInd w:val="0"/>
        <w:spacing w:after="120"/>
        <w:ind w:left="540"/>
        <w:textAlignment w:val="bottom"/>
        <w:rPr>
          <w:rFonts w:ascii="Century Schoolbook" w:hAnsi="Century Schoolbook"/>
          <w:kern w:val="0"/>
          <w:sz w:val="22"/>
          <w:szCs w:val="22"/>
        </w:rPr>
      </w:pPr>
      <w:r w:rsidRPr="00C9399A">
        <w:rPr>
          <w:rFonts w:ascii="Century Schoolbook" w:hAnsi="Century Schoolbook"/>
          <w:kern w:val="0"/>
          <w:sz w:val="22"/>
          <w:szCs w:val="22"/>
        </w:rPr>
        <w:t xml:space="preserve">(Note that the 1 </w:t>
      </w:r>
      <w:proofErr w:type="spellStart"/>
      <w:r w:rsidRPr="00C9399A">
        <w:rPr>
          <w:rFonts w:ascii="Century Schoolbook" w:hAnsi="Century Schoolbook"/>
          <w:kern w:val="0"/>
          <w:sz w:val="22"/>
          <w:szCs w:val="22"/>
        </w:rPr>
        <w:t>mM</w:t>
      </w:r>
      <w:proofErr w:type="spellEnd"/>
      <w:r w:rsidRPr="00C9399A">
        <w:rPr>
          <w:rFonts w:ascii="Century Schoolbook" w:hAnsi="Century Schoolbook"/>
          <w:kern w:val="0"/>
          <w:sz w:val="22"/>
          <w:szCs w:val="22"/>
        </w:rPr>
        <w:t xml:space="preserve"> limit avoids increases in </w:t>
      </w:r>
      <w:proofErr w:type="spellStart"/>
      <w:r w:rsidRPr="00C9399A">
        <w:rPr>
          <w:rFonts w:ascii="Century Schoolbook" w:hAnsi="Century Schoolbook"/>
          <w:kern w:val="0"/>
          <w:sz w:val="22"/>
          <w:szCs w:val="22"/>
        </w:rPr>
        <w:t>osmolality</w:t>
      </w:r>
      <w:proofErr w:type="spellEnd"/>
      <w:r w:rsidRPr="00C9399A">
        <w:rPr>
          <w:rFonts w:ascii="Century Schoolbook" w:hAnsi="Century Schoolbook"/>
          <w:kern w:val="0"/>
          <w:sz w:val="22"/>
          <w:szCs w:val="22"/>
        </w:rPr>
        <w:t>, and that if the test compound alters pH it is advisable to adjust pH to the normal pH of untreated cultures at the time of treatment)</w:t>
      </w:r>
      <w:r w:rsidR="00DA4303">
        <w:rPr>
          <w:rFonts w:ascii="Century Schoolbook" w:hAnsi="Century Schoolbook"/>
          <w:kern w:val="0"/>
          <w:sz w:val="22"/>
          <w:szCs w:val="22"/>
        </w:rPr>
        <w:t>.</w:t>
      </w:r>
    </w:p>
    <w:p w:rsidR="001D26BE" w:rsidRPr="00C9399A" w:rsidRDefault="001D26BE" w:rsidP="004235DD">
      <w:pPr>
        <w:numPr>
          <w:ilvl w:val="0"/>
          <w:numId w:val="21"/>
        </w:numPr>
        <w:tabs>
          <w:tab w:val="clear" w:pos="1080"/>
          <w:tab w:val="num" w:pos="540"/>
        </w:tabs>
        <w:autoSpaceDE w:val="0"/>
        <w:autoSpaceDN w:val="0"/>
        <w:adjustRightInd w:val="0"/>
        <w:spacing w:after="120"/>
        <w:ind w:left="540"/>
        <w:textAlignment w:val="bottom"/>
        <w:rPr>
          <w:rFonts w:ascii="Century Schoolbook" w:hAnsi="Century Schoolbook"/>
          <w:kern w:val="0"/>
          <w:sz w:val="22"/>
          <w:szCs w:val="22"/>
        </w:rPr>
      </w:pPr>
      <w:r w:rsidRPr="00C9399A">
        <w:rPr>
          <w:rFonts w:ascii="Century Schoolbook" w:hAnsi="Century Schoolbook"/>
          <w:kern w:val="0"/>
          <w:sz w:val="22"/>
          <w:szCs w:val="22"/>
        </w:rPr>
        <w:t xml:space="preserve">The effect </w:t>
      </w:r>
      <w:proofErr w:type="gramStart"/>
      <w:r w:rsidRPr="00C9399A">
        <w:rPr>
          <w:rFonts w:ascii="Century Schoolbook" w:hAnsi="Century Schoolbook"/>
          <w:kern w:val="0"/>
          <w:sz w:val="22"/>
          <w:szCs w:val="22"/>
        </w:rPr>
        <w:t>occurs</w:t>
      </w:r>
      <w:proofErr w:type="gramEnd"/>
      <w:r w:rsidRPr="00C9399A">
        <w:rPr>
          <w:rFonts w:ascii="Century Schoolbook" w:hAnsi="Century Schoolbook"/>
          <w:kern w:val="0"/>
          <w:sz w:val="22"/>
          <w:szCs w:val="22"/>
        </w:rPr>
        <w:t xml:space="preserve"> only at the most toxic concentrations.</w:t>
      </w:r>
    </w:p>
    <w:p w:rsidR="001D26BE" w:rsidRPr="00C9399A" w:rsidRDefault="001D26BE" w:rsidP="00DA4303">
      <w:pPr>
        <w:autoSpaceDE w:val="0"/>
        <w:autoSpaceDN w:val="0"/>
        <w:adjustRightInd w:val="0"/>
        <w:spacing w:after="120"/>
        <w:ind w:left="540"/>
        <w:textAlignment w:val="bottom"/>
        <w:rPr>
          <w:rFonts w:ascii="Century Schoolbook" w:hAnsi="Century Schoolbook"/>
          <w:kern w:val="0"/>
          <w:sz w:val="22"/>
          <w:szCs w:val="22"/>
        </w:rPr>
      </w:pPr>
      <w:proofErr w:type="gramStart"/>
      <w:r w:rsidRPr="00C9399A">
        <w:rPr>
          <w:rFonts w:ascii="Century Schoolbook" w:hAnsi="Century Schoolbook"/>
          <w:kern w:val="0"/>
          <w:sz w:val="22"/>
          <w:szCs w:val="22"/>
        </w:rPr>
        <w:t>In the MLA inc</w:t>
      </w:r>
      <w:r w:rsidR="00DA4303">
        <w:rPr>
          <w:rFonts w:ascii="Century Schoolbook" w:hAnsi="Century Schoolbook"/>
          <w:kern w:val="0"/>
          <w:sz w:val="22"/>
          <w:szCs w:val="22"/>
        </w:rPr>
        <w:t>reases at ≥80% reduction in RTG.</w:t>
      </w:r>
      <w:proofErr w:type="gramEnd"/>
    </w:p>
    <w:p w:rsidR="001D26BE" w:rsidRPr="00C9399A" w:rsidRDefault="001D26BE" w:rsidP="00DA4303">
      <w:pPr>
        <w:autoSpaceDE w:val="0"/>
        <w:autoSpaceDN w:val="0"/>
        <w:adjustRightInd w:val="0"/>
        <w:spacing w:after="120"/>
        <w:ind w:left="540"/>
        <w:textAlignment w:val="bottom"/>
        <w:rPr>
          <w:rFonts w:ascii="Century Schoolbook" w:hAnsi="Century Schoolbook"/>
          <w:kern w:val="0"/>
          <w:sz w:val="22"/>
          <w:szCs w:val="22"/>
        </w:rPr>
      </w:pPr>
      <w:r w:rsidRPr="00C9399A">
        <w:rPr>
          <w:rFonts w:ascii="Century Schoolbook" w:hAnsi="Century Schoolbook"/>
          <w:kern w:val="0"/>
          <w:sz w:val="22"/>
          <w:szCs w:val="22"/>
        </w:rPr>
        <w:t xml:space="preserve">For </w:t>
      </w:r>
      <w:r w:rsidRPr="00C9399A">
        <w:rPr>
          <w:rFonts w:ascii="Century Schoolbook" w:hAnsi="Century Schoolbook"/>
          <w:i/>
          <w:kern w:val="0"/>
          <w:sz w:val="22"/>
          <w:szCs w:val="22"/>
        </w:rPr>
        <w:t>in vitro</w:t>
      </w:r>
      <w:r w:rsidRPr="00C9399A">
        <w:rPr>
          <w:rFonts w:ascii="Century Schoolbook" w:hAnsi="Century Schoolbook"/>
          <w:kern w:val="0"/>
          <w:sz w:val="22"/>
          <w:szCs w:val="22"/>
        </w:rPr>
        <w:t xml:space="preserve"> </w:t>
      </w:r>
      <w:proofErr w:type="spellStart"/>
      <w:r w:rsidRPr="00C9399A">
        <w:rPr>
          <w:rFonts w:ascii="Century Schoolbook" w:hAnsi="Century Schoolbook"/>
          <w:kern w:val="0"/>
          <w:sz w:val="22"/>
          <w:szCs w:val="22"/>
        </w:rPr>
        <w:t>cytogenetics</w:t>
      </w:r>
      <w:proofErr w:type="spellEnd"/>
      <w:r w:rsidRPr="00C9399A">
        <w:rPr>
          <w:rFonts w:ascii="Century Schoolbook" w:hAnsi="Century Schoolbook"/>
          <w:kern w:val="0"/>
          <w:sz w:val="22"/>
          <w:szCs w:val="22"/>
        </w:rPr>
        <w:t xml:space="preserve"> assays wh</w:t>
      </w:r>
      <w:r w:rsidR="00DA4303">
        <w:rPr>
          <w:rFonts w:ascii="Century Schoolbook" w:hAnsi="Century Schoolbook"/>
          <w:kern w:val="0"/>
          <w:sz w:val="22"/>
          <w:szCs w:val="22"/>
        </w:rPr>
        <w:t>en growth is suppressed by ≥50%.</w:t>
      </w:r>
    </w:p>
    <w:p w:rsidR="001D26BE" w:rsidRPr="00C9399A" w:rsidRDefault="001D26BE" w:rsidP="004A62F4">
      <w:pPr>
        <w:autoSpaceDE w:val="0"/>
        <w:autoSpaceDN w:val="0"/>
        <w:adjustRightInd w:val="0"/>
        <w:spacing w:after="120"/>
        <w:textAlignment w:val="bottom"/>
        <w:rPr>
          <w:rFonts w:ascii="Century Schoolbook" w:hAnsi="Century Schoolbook"/>
          <w:kern w:val="0"/>
          <w:sz w:val="22"/>
          <w:szCs w:val="22"/>
        </w:rPr>
      </w:pPr>
      <w:r w:rsidRPr="00C9399A">
        <w:rPr>
          <w:rFonts w:ascii="Century Schoolbook" w:hAnsi="Century Schoolbook"/>
          <w:kern w:val="0"/>
          <w:sz w:val="22"/>
          <w:szCs w:val="22"/>
        </w:rPr>
        <w:t xml:space="preserve">If any of the above conditions apply the weight of evidence indicates a lack of </w:t>
      </w:r>
      <w:proofErr w:type="spellStart"/>
      <w:r w:rsidRPr="00C9399A">
        <w:rPr>
          <w:rFonts w:ascii="Century Schoolbook" w:hAnsi="Century Schoolbook"/>
          <w:kern w:val="0"/>
          <w:sz w:val="22"/>
          <w:szCs w:val="22"/>
        </w:rPr>
        <w:t>genotoxic</w:t>
      </w:r>
      <w:proofErr w:type="spellEnd"/>
      <w:r w:rsidRPr="00C9399A">
        <w:rPr>
          <w:rFonts w:ascii="Century Schoolbook" w:hAnsi="Century Schoolbook"/>
          <w:kern w:val="0"/>
          <w:sz w:val="22"/>
          <w:szCs w:val="22"/>
        </w:rPr>
        <w:t xml:space="preserve"> potential; the standard battery (</w:t>
      </w:r>
      <w:r w:rsidR="003C1715" w:rsidRPr="003C1715">
        <w:rPr>
          <w:rFonts w:ascii="Century Schoolbook" w:hAnsi="Century Schoolbook"/>
          <w:kern w:val="0"/>
          <w:sz w:val="22"/>
          <w:szCs w:val="22"/>
        </w:rPr>
        <w:t>Option</w:t>
      </w:r>
      <w:r w:rsidRPr="00C9399A">
        <w:rPr>
          <w:rFonts w:ascii="Century Schoolbook" w:hAnsi="Century Schoolbook"/>
          <w:kern w:val="0"/>
          <w:sz w:val="22"/>
          <w:szCs w:val="22"/>
        </w:rPr>
        <w:t xml:space="preserve"> 1) can be followed.  Thus, a single </w:t>
      </w:r>
      <w:r w:rsidRPr="00C9399A">
        <w:rPr>
          <w:rFonts w:ascii="Century Schoolbook" w:hAnsi="Century Schoolbook"/>
          <w:i/>
          <w:kern w:val="0"/>
          <w:sz w:val="22"/>
          <w:szCs w:val="22"/>
        </w:rPr>
        <w:t>in vivo</w:t>
      </w:r>
      <w:r w:rsidRPr="00C9399A">
        <w:rPr>
          <w:rFonts w:ascii="Century Schoolbook" w:hAnsi="Century Schoolbook"/>
          <w:kern w:val="0"/>
          <w:sz w:val="22"/>
          <w:szCs w:val="22"/>
        </w:rPr>
        <w:t xml:space="preserve"> test is considered sufficient.</w:t>
      </w:r>
    </w:p>
    <w:p w:rsidR="001D26BE" w:rsidRPr="008B2ED1" w:rsidRDefault="001D26BE" w:rsidP="008B2ED1">
      <w:pPr>
        <w:pStyle w:val="Heading3"/>
        <w:numPr>
          <w:ilvl w:val="2"/>
          <w:numId w:val="36"/>
        </w:numPr>
        <w:spacing w:before="120"/>
        <w:rPr>
          <w:rFonts w:ascii="Century Schoolbook" w:hAnsi="Century Schoolbook"/>
          <w:i/>
          <w:kern w:val="0"/>
          <w:sz w:val="22"/>
          <w:szCs w:val="22"/>
        </w:rPr>
      </w:pPr>
      <w:bookmarkStart w:id="94" w:name="_Toc309742209"/>
      <w:bookmarkStart w:id="95" w:name="_Toc309835307"/>
      <w:r w:rsidRPr="008B2ED1">
        <w:rPr>
          <w:rFonts w:ascii="Century Schoolbook" w:hAnsi="Century Schoolbook"/>
          <w:i/>
          <w:kern w:val="0"/>
          <w:sz w:val="22"/>
          <w:szCs w:val="22"/>
        </w:rPr>
        <w:t xml:space="preserve">Evaluation </w:t>
      </w:r>
      <w:r w:rsidR="001303EB" w:rsidRPr="008B2ED1">
        <w:rPr>
          <w:rFonts w:ascii="Century Schoolbook" w:hAnsi="Century Schoolbook"/>
          <w:i/>
          <w:kern w:val="0"/>
          <w:sz w:val="22"/>
          <w:szCs w:val="22"/>
        </w:rPr>
        <w:t xml:space="preserve">of </w:t>
      </w:r>
      <w:r w:rsidR="001D2B20" w:rsidRPr="001D2B20">
        <w:rPr>
          <w:rFonts w:ascii="Century Schoolbook" w:hAnsi="Century Schoolbook"/>
          <w:i/>
          <w:kern w:val="0"/>
          <w:sz w:val="22"/>
          <w:szCs w:val="22"/>
        </w:rPr>
        <w:t>In Vitro</w:t>
      </w:r>
      <w:r w:rsidR="001303EB" w:rsidRPr="008B2ED1">
        <w:rPr>
          <w:rFonts w:ascii="Century Schoolbook" w:hAnsi="Century Schoolbook"/>
          <w:i/>
          <w:iCs/>
          <w:kern w:val="0"/>
          <w:sz w:val="22"/>
          <w:szCs w:val="22"/>
        </w:rPr>
        <w:t xml:space="preserve"> </w:t>
      </w:r>
      <w:r w:rsidR="001303EB" w:rsidRPr="008B2ED1">
        <w:rPr>
          <w:rFonts w:ascii="Century Schoolbook" w:hAnsi="Century Schoolbook"/>
          <w:i/>
          <w:kern w:val="0"/>
          <w:sz w:val="22"/>
          <w:szCs w:val="22"/>
        </w:rPr>
        <w:t>Negative Results</w:t>
      </w:r>
      <w:bookmarkEnd w:id="94"/>
      <w:bookmarkEnd w:id="95"/>
    </w:p>
    <w:p w:rsidR="001D26BE" w:rsidRPr="00C9399A" w:rsidRDefault="001D26BE" w:rsidP="004A62F4">
      <w:pPr>
        <w:autoSpaceDE w:val="0"/>
        <w:autoSpaceDN w:val="0"/>
        <w:adjustRightInd w:val="0"/>
        <w:spacing w:after="120"/>
        <w:textAlignment w:val="bottom"/>
        <w:rPr>
          <w:rFonts w:ascii="Century Schoolbook" w:hAnsi="Century Schoolbook"/>
          <w:kern w:val="0"/>
          <w:sz w:val="22"/>
          <w:szCs w:val="22"/>
        </w:rPr>
      </w:pPr>
      <w:r w:rsidRPr="00C9399A">
        <w:rPr>
          <w:rFonts w:ascii="Century Schoolbook" w:hAnsi="Century Schoolbook"/>
          <w:kern w:val="0"/>
          <w:sz w:val="22"/>
          <w:szCs w:val="22"/>
        </w:rPr>
        <w:t xml:space="preserve">For </w:t>
      </w:r>
      <w:r w:rsidRPr="00C9399A">
        <w:rPr>
          <w:rFonts w:ascii="Century Schoolbook" w:hAnsi="Century Schoolbook"/>
          <w:i/>
          <w:iCs/>
          <w:kern w:val="0"/>
          <w:sz w:val="22"/>
          <w:szCs w:val="22"/>
        </w:rPr>
        <w:t xml:space="preserve">in vitro </w:t>
      </w:r>
      <w:r w:rsidRPr="00C9399A">
        <w:rPr>
          <w:rFonts w:ascii="Century Schoolbook" w:hAnsi="Century Schoolbook"/>
          <w:kern w:val="0"/>
          <w:sz w:val="22"/>
          <w:szCs w:val="22"/>
        </w:rPr>
        <w:t xml:space="preserve">negative results further testing should be considered in special cases, such as (the examples given are not exhaustive, but are given as an aid to decision-making): The structure or known metabolism of the compound indicates that standard techniques for </w:t>
      </w:r>
      <w:r w:rsidRPr="00C9399A">
        <w:rPr>
          <w:rFonts w:ascii="Century Schoolbook" w:hAnsi="Century Schoolbook"/>
          <w:i/>
          <w:iCs/>
          <w:kern w:val="0"/>
          <w:sz w:val="22"/>
          <w:szCs w:val="22"/>
        </w:rPr>
        <w:t xml:space="preserve">in vitro </w:t>
      </w:r>
      <w:r w:rsidRPr="00C9399A">
        <w:rPr>
          <w:rFonts w:ascii="Century Schoolbook" w:hAnsi="Century Schoolbook"/>
          <w:kern w:val="0"/>
          <w:sz w:val="22"/>
          <w:szCs w:val="22"/>
        </w:rPr>
        <w:t xml:space="preserve">metabolic activation (e.g., rodent liver S9) might be inadequate; the structure or </w:t>
      </w:r>
      <w:r w:rsidRPr="00C9399A">
        <w:rPr>
          <w:rFonts w:ascii="Century Schoolbook" w:hAnsi="Century Schoolbook"/>
          <w:kern w:val="0"/>
          <w:sz w:val="22"/>
          <w:szCs w:val="22"/>
        </w:rPr>
        <w:lastRenderedPageBreak/>
        <w:t>known activity of the compound indicates that the use of other test methods/systems might be appropriate.</w:t>
      </w:r>
    </w:p>
    <w:p w:rsidR="001D26BE" w:rsidRPr="0078046D" w:rsidRDefault="001D26BE" w:rsidP="00AA186A">
      <w:pPr>
        <w:pStyle w:val="Heading2"/>
        <w:numPr>
          <w:ilvl w:val="1"/>
          <w:numId w:val="36"/>
        </w:numPr>
        <w:spacing w:before="180" w:after="120"/>
        <w:ind w:left="720" w:hanging="720"/>
        <w:rPr>
          <w:rFonts w:ascii="Century Schoolbook" w:hAnsi="Century Schoolbook"/>
          <w:i w:val="0"/>
          <w:kern w:val="0"/>
          <w:sz w:val="22"/>
          <w:szCs w:val="22"/>
        </w:rPr>
      </w:pPr>
      <w:bookmarkStart w:id="96" w:name="_Toc309742210"/>
      <w:bookmarkStart w:id="97" w:name="_Toc309835308"/>
      <w:r w:rsidRPr="0078046D">
        <w:rPr>
          <w:rFonts w:ascii="Century Schoolbook" w:hAnsi="Century Schoolbook"/>
          <w:i w:val="0"/>
          <w:kern w:val="0"/>
          <w:sz w:val="22"/>
          <w:szCs w:val="22"/>
        </w:rPr>
        <w:t xml:space="preserve">Evaluation </w:t>
      </w:r>
      <w:r w:rsidR="001303EB" w:rsidRPr="0078046D">
        <w:rPr>
          <w:rFonts w:ascii="Century Schoolbook" w:hAnsi="Century Schoolbook"/>
          <w:i w:val="0"/>
          <w:kern w:val="0"/>
          <w:sz w:val="22"/>
          <w:szCs w:val="22"/>
        </w:rPr>
        <w:t xml:space="preserve">of Results Obtained from </w:t>
      </w:r>
      <w:r w:rsidR="001D2B20">
        <w:rPr>
          <w:rFonts w:ascii="Century Schoolbook" w:hAnsi="Century Schoolbook"/>
          <w:iCs w:val="0"/>
          <w:kern w:val="0"/>
          <w:sz w:val="22"/>
          <w:szCs w:val="22"/>
        </w:rPr>
        <w:t>In V</w:t>
      </w:r>
      <w:r w:rsidR="00DB33C4" w:rsidRPr="00DB33C4">
        <w:rPr>
          <w:rFonts w:ascii="Century Schoolbook" w:hAnsi="Century Schoolbook"/>
          <w:iCs w:val="0"/>
          <w:kern w:val="0"/>
          <w:sz w:val="22"/>
          <w:szCs w:val="22"/>
        </w:rPr>
        <w:t>ivo</w:t>
      </w:r>
      <w:r w:rsidR="001303EB" w:rsidRPr="0078046D">
        <w:rPr>
          <w:rFonts w:ascii="Century Schoolbook" w:hAnsi="Century Schoolbook"/>
          <w:i w:val="0"/>
          <w:iCs w:val="0"/>
          <w:kern w:val="0"/>
          <w:sz w:val="22"/>
          <w:szCs w:val="22"/>
        </w:rPr>
        <w:t xml:space="preserve"> </w:t>
      </w:r>
      <w:r w:rsidR="001303EB" w:rsidRPr="0078046D">
        <w:rPr>
          <w:rFonts w:ascii="Century Schoolbook" w:hAnsi="Century Schoolbook"/>
          <w:i w:val="0"/>
          <w:kern w:val="0"/>
          <w:sz w:val="22"/>
          <w:szCs w:val="22"/>
        </w:rPr>
        <w:t>Tests</w:t>
      </w:r>
      <w:bookmarkEnd w:id="96"/>
      <w:bookmarkEnd w:id="97"/>
    </w:p>
    <w:p w:rsidR="001D26BE" w:rsidRPr="00C9399A" w:rsidRDefault="001D26BE" w:rsidP="004A62F4">
      <w:pPr>
        <w:autoSpaceDE w:val="0"/>
        <w:autoSpaceDN w:val="0"/>
        <w:adjustRightInd w:val="0"/>
        <w:spacing w:after="120"/>
        <w:textAlignment w:val="bottom"/>
        <w:rPr>
          <w:rFonts w:ascii="Century Schoolbook" w:hAnsi="Century Schoolbook"/>
          <w:kern w:val="0"/>
          <w:sz w:val="22"/>
          <w:szCs w:val="22"/>
        </w:rPr>
      </w:pPr>
      <w:r w:rsidRPr="00C9399A">
        <w:rPr>
          <w:rFonts w:ascii="Century Schoolbook" w:hAnsi="Century Schoolbook"/>
          <w:i/>
          <w:iCs/>
          <w:kern w:val="0"/>
          <w:sz w:val="22"/>
          <w:szCs w:val="22"/>
        </w:rPr>
        <w:t xml:space="preserve">In vivo </w:t>
      </w:r>
      <w:r w:rsidRPr="00C9399A">
        <w:rPr>
          <w:rFonts w:ascii="Century Schoolbook" w:hAnsi="Century Schoolbook"/>
          <w:kern w:val="0"/>
          <w:sz w:val="22"/>
          <w:szCs w:val="22"/>
        </w:rPr>
        <w:t xml:space="preserve">tests have the advantage of taking into account absorption, distribution and excretion, which are not factors in </w:t>
      </w:r>
      <w:proofErr w:type="spellStart"/>
      <w:r w:rsidRPr="00C9399A">
        <w:rPr>
          <w:rFonts w:ascii="Century Schoolbook" w:hAnsi="Century Schoolbook"/>
          <w:i/>
          <w:iCs/>
          <w:kern w:val="0"/>
          <w:sz w:val="22"/>
          <w:szCs w:val="22"/>
        </w:rPr>
        <w:t>in</w:t>
      </w:r>
      <w:proofErr w:type="spellEnd"/>
      <w:r w:rsidRPr="00C9399A">
        <w:rPr>
          <w:rFonts w:ascii="Century Schoolbook" w:hAnsi="Century Schoolbook"/>
          <w:i/>
          <w:iCs/>
          <w:kern w:val="0"/>
          <w:sz w:val="22"/>
          <w:szCs w:val="22"/>
        </w:rPr>
        <w:t xml:space="preserve"> vitro </w:t>
      </w:r>
      <w:r w:rsidRPr="00C9399A">
        <w:rPr>
          <w:rFonts w:ascii="Century Schoolbook" w:hAnsi="Century Schoolbook"/>
          <w:kern w:val="0"/>
          <w:sz w:val="22"/>
          <w:szCs w:val="22"/>
        </w:rPr>
        <w:t xml:space="preserve">tests, but are potentially relevant to human use.  In addition metabolism is likely to be more relevant </w:t>
      </w:r>
      <w:r w:rsidRPr="00C9399A">
        <w:rPr>
          <w:rFonts w:ascii="Century Schoolbook" w:hAnsi="Century Schoolbook"/>
          <w:i/>
          <w:iCs/>
          <w:kern w:val="0"/>
          <w:sz w:val="22"/>
          <w:szCs w:val="22"/>
        </w:rPr>
        <w:t xml:space="preserve">in vivo </w:t>
      </w:r>
      <w:r w:rsidRPr="00C9399A">
        <w:rPr>
          <w:rFonts w:ascii="Century Schoolbook" w:hAnsi="Century Schoolbook"/>
          <w:kern w:val="0"/>
          <w:sz w:val="22"/>
          <w:szCs w:val="22"/>
        </w:rPr>
        <w:t xml:space="preserve">compared to the systems normally used </w:t>
      </w:r>
      <w:r w:rsidRPr="00C9399A">
        <w:rPr>
          <w:rFonts w:ascii="Century Schoolbook" w:hAnsi="Century Schoolbook"/>
          <w:i/>
          <w:iCs/>
          <w:kern w:val="0"/>
          <w:sz w:val="22"/>
          <w:szCs w:val="22"/>
        </w:rPr>
        <w:t>in vitro</w:t>
      </w:r>
      <w:r w:rsidRPr="00C9399A">
        <w:rPr>
          <w:rFonts w:ascii="Century Schoolbook" w:hAnsi="Century Schoolbook"/>
          <w:kern w:val="0"/>
          <w:sz w:val="22"/>
          <w:szCs w:val="22"/>
        </w:rPr>
        <w:t xml:space="preserve">.  If the </w:t>
      </w:r>
      <w:r w:rsidRPr="00C9399A">
        <w:rPr>
          <w:rFonts w:ascii="Century Schoolbook" w:hAnsi="Century Schoolbook"/>
          <w:i/>
          <w:kern w:val="0"/>
          <w:sz w:val="22"/>
          <w:szCs w:val="22"/>
        </w:rPr>
        <w:t>in vivo</w:t>
      </w:r>
      <w:r w:rsidRPr="00C9399A">
        <w:rPr>
          <w:rFonts w:ascii="Century Schoolbook" w:hAnsi="Century Schoolbook"/>
          <w:kern w:val="0"/>
          <w:sz w:val="22"/>
          <w:szCs w:val="22"/>
        </w:rPr>
        <w:t xml:space="preserve"> and </w:t>
      </w:r>
      <w:r w:rsidRPr="00C9399A">
        <w:rPr>
          <w:rFonts w:ascii="Century Schoolbook" w:hAnsi="Century Schoolbook"/>
          <w:i/>
          <w:kern w:val="0"/>
          <w:sz w:val="22"/>
          <w:szCs w:val="22"/>
        </w:rPr>
        <w:t>in vitro</w:t>
      </w:r>
      <w:r w:rsidRPr="00C9399A">
        <w:rPr>
          <w:rFonts w:ascii="Century Schoolbook" w:hAnsi="Century Schoolbook"/>
          <w:kern w:val="0"/>
          <w:sz w:val="22"/>
          <w:szCs w:val="22"/>
        </w:rPr>
        <w:t xml:space="preserve"> results do not agree, then the difference should be considered/explained on a case-by-case basis, e.g., a difference in metabolism; rapid and efficient excretion of a compound </w:t>
      </w:r>
      <w:r w:rsidRPr="00C9399A">
        <w:rPr>
          <w:rFonts w:ascii="Century Schoolbook" w:hAnsi="Century Schoolbook"/>
          <w:i/>
          <w:kern w:val="0"/>
          <w:sz w:val="22"/>
          <w:szCs w:val="22"/>
        </w:rPr>
        <w:t>in vivo</w:t>
      </w:r>
      <w:r w:rsidRPr="00C9399A">
        <w:rPr>
          <w:rFonts w:ascii="Century Schoolbook" w:hAnsi="Century Schoolbook"/>
          <w:kern w:val="0"/>
          <w:sz w:val="22"/>
          <w:szCs w:val="22"/>
        </w:rPr>
        <w:t>.</w:t>
      </w:r>
    </w:p>
    <w:p w:rsidR="001D26BE" w:rsidRPr="00C9399A" w:rsidRDefault="001D26BE" w:rsidP="004A62F4">
      <w:pPr>
        <w:autoSpaceDE w:val="0"/>
        <w:autoSpaceDN w:val="0"/>
        <w:adjustRightInd w:val="0"/>
        <w:spacing w:after="120"/>
        <w:textAlignment w:val="bottom"/>
        <w:rPr>
          <w:rFonts w:ascii="Century Schoolbook" w:hAnsi="Century Schoolbook"/>
          <w:iCs/>
          <w:kern w:val="0"/>
          <w:sz w:val="22"/>
          <w:szCs w:val="22"/>
        </w:rPr>
      </w:pPr>
      <w:r w:rsidRPr="00C9399A">
        <w:rPr>
          <w:rFonts w:ascii="Century Schoolbook" w:hAnsi="Century Schoolbook"/>
          <w:i/>
          <w:iCs/>
          <w:kern w:val="0"/>
          <w:sz w:val="22"/>
          <w:szCs w:val="22"/>
        </w:rPr>
        <w:t>In vivo</w:t>
      </w:r>
      <w:r w:rsidRPr="00C9399A">
        <w:rPr>
          <w:rFonts w:ascii="Century Schoolbook" w:hAnsi="Century Schoolbook"/>
          <w:iCs/>
          <w:kern w:val="0"/>
          <w:sz w:val="22"/>
          <w:szCs w:val="22"/>
        </w:rPr>
        <w:t xml:space="preserve"> </w:t>
      </w:r>
      <w:proofErr w:type="spellStart"/>
      <w:r w:rsidRPr="00C9399A">
        <w:rPr>
          <w:rFonts w:ascii="Century Schoolbook" w:hAnsi="Century Schoolbook"/>
          <w:iCs/>
          <w:kern w:val="0"/>
          <w:sz w:val="22"/>
          <w:szCs w:val="22"/>
        </w:rPr>
        <w:t>genotoxicity</w:t>
      </w:r>
      <w:proofErr w:type="spellEnd"/>
      <w:r w:rsidRPr="00C9399A">
        <w:rPr>
          <w:rFonts w:ascii="Century Schoolbook" w:hAnsi="Century Schoolbook"/>
          <w:iCs/>
          <w:kern w:val="0"/>
          <w:sz w:val="22"/>
          <w:szCs w:val="22"/>
        </w:rPr>
        <w:t xml:space="preserve"> tests also have the potential to give misleading positive results that do not indicate true </w:t>
      </w:r>
      <w:proofErr w:type="spellStart"/>
      <w:r w:rsidRPr="00C9399A">
        <w:rPr>
          <w:rFonts w:ascii="Century Schoolbook" w:hAnsi="Century Schoolbook"/>
          <w:iCs/>
          <w:kern w:val="0"/>
          <w:sz w:val="22"/>
          <w:szCs w:val="22"/>
        </w:rPr>
        <w:t>genotoxicity</w:t>
      </w:r>
      <w:proofErr w:type="spellEnd"/>
      <w:r w:rsidRPr="00C9399A">
        <w:rPr>
          <w:rFonts w:ascii="Century Schoolbook" w:hAnsi="Century Schoolbook"/>
          <w:iCs/>
          <w:kern w:val="0"/>
          <w:sz w:val="22"/>
          <w:szCs w:val="22"/>
        </w:rPr>
        <w:t xml:space="preserve">.  As examples: </w:t>
      </w:r>
    </w:p>
    <w:p w:rsidR="001D26BE" w:rsidRPr="00C9399A" w:rsidRDefault="001D26BE" w:rsidP="004235DD">
      <w:pPr>
        <w:numPr>
          <w:ilvl w:val="0"/>
          <w:numId w:val="15"/>
        </w:numPr>
        <w:autoSpaceDE w:val="0"/>
        <w:autoSpaceDN w:val="0"/>
        <w:adjustRightInd w:val="0"/>
        <w:spacing w:after="120"/>
        <w:ind w:left="540"/>
        <w:textAlignment w:val="bottom"/>
        <w:rPr>
          <w:rFonts w:ascii="Century Schoolbook" w:hAnsi="Century Schoolbook"/>
          <w:iCs/>
          <w:kern w:val="0"/>
          <w:sz w:val="22"/>
          <w:szCs w:val="22"/>
        </w:rPr>
      </w:pPr>
      <w:r w:rsidRPr="00C9399A">
        <w:rPr>
          <w:rFonts w:ascii="Century Schoolbook" w:hAnsi="Century Schoolbook"/>
          <w:iCs/>
          <w:kern w:val="0"/>
          <w:sz w:val="22"/>
          <w:szCs w:val="22"/>
        </w:rPr>
        <w:t xml:space="preserve">Increases in micronuclei can occur without administration of any </w:t>
      </w:r>
      <w:proofErr w:type="spellStart"/>
      <w:r w:rsidRPr="00C9399A">
        <w:rPr>
          <w:rFonts w:ascii="Century Schoolbook" w:hAnsi="Century Schoolbook"/>
          <w:iCs/>
          <w:kern w:val="0"/>
          <w:sz w:val="22"/>
          <w:szCs w:val="22"/>
        </w:rPr>
        <w:t>genotoxic</w:t>
      </w:r>
      <w:proofErr w:type="spellEnd"/>
      <w:r w:rsidRPr="00C9399A">
        <w:rPr>
          <w:rFonts w:ascii="Century Schoolbook" w:hAnsi="Century Schoolbook"/>
          <w:iCs/>
          <w:kern w:val="0"/>
          <w:sz w:val="22"/>
          <w:szCs w:val="22"/>
        </w:rPr>
        <w:t xml:space="preserve"> agent, due to disturbance in </w:t>
      </w:r>
      <w:proofErr w:type="spellStart"/>
      <w:r w:rsidRPr="00C9399A">
        <w:rPr>
          <w:rFonts w:ascii="Century Schoolbook" w:hAnsi="Century Schoolbook"/>
          <w:iCs/>
          <w:kern w:val="0"/>
          <w:sz w:val="22"/>
          <w:szCs w:val="22"/>
        </w:rPr>
        <w:t>erythropoiesis</w:t>
      </w:r>
      <w:proofErr w:type="spellEnd"/>
      <w:r w:rsidRPr="00C9399A">
        <w:rPr>
          <w:rFonts w:ascii="Century Schoolbook" w:hAnsi="Century Schoolbook"/>
          <w:iCs/>
          <w:kern w:val="0"/>
          <w:sz w:val="22"/>
          <w:szCs w:val="22"/>
        </w:rPr>
        <w:t xml:space="preserve"> (</w:t>
      </w:r>
      <w:proofErr w:type="spellStart"/>
      <w:r w:rsidRPr="00C9399A">
        <w:rPr>
          <w:rFonts w:ascii="Century Schoolbook" w:hAnsi="Century Schoolbook"/>
          <w:iCs/>
          <w:kern w:val="0"/>
          <w:sz w:val="22"/>
          <w:szCs w:val="22"/>
        </w:rPr>
        <w:t>Tweats</w:t>
      </w:r>
      <w:proofErr w:type="spellEnd"/>
      <w:r w:rsidRPr="00C9399A">
        <w:rPr>
          <w:rFonts w:ascii="Century Schoolbook" w:hAnsi="Century Schoolbook"/>
          <w:iCs/>
          <w:kern w:val="0"/>
          <w:sz w:val="22"/>
          <w:szCs w:val="22"/>
        </w:rPr>
        <w:t xml:space="preserve"> et al., 2007</w:t>
      </w:r>
      <w:r w:rsidR="0047360D">
        <w:rPr>
          <w:rFonts w:ascii="Century Schoolbook" w:hAnsi="Century Schoolbook"/>
          <w:iCs/>
          <w:kern w:val="0"/>
          <w:sz w:val="22"/>
          <w:szCs w:val="22"/>
        </w:rPr>
        <w:t>,</w:t>
      </w:r>
      <w:r w:rsidR="00B678D8">
        <w:rPr>
          <w:rFonts w:ascii="Century Schoolbook" w:hAnsi="Century Schoolbook"/>
          <w:iCs/>
          <w:kern w:val="0"/>
          <w:sz w:val="22"/>
          <w:szCs w:val="22"/>
        </w:rPr>
        <w:t xml:space="preserve"> I).</w:t>
      </w:r>
    </w:p>
    <w:p w:rsidR="001D26BE" w:rsidRPr="00C9399A" w:rsidRDefault="001D26BE" w:rsidP="004235DD">
      <w:pPr>
        <w:numPr>
          <w:ilvl w:val="0"/>
          <w:numId w:val="15"/>
        </w:numPr>
        <w:autoSpaceDE w:val="0"/>
        <w:autoSpaceDN w:val="0"/>
        <w:adjustRightInd w:val="0"/>
        <w:spacing w:after="120"/>
        <w:ind w:left="540"/>
        <w:textAlignment w:val="bottom"/>
        <w:rPr>
          <w:rFonts w:ascii="Century Schoolbook" w:hAnsi="Century Schoolbook"/>
          <w:kern w:val="0"/>
          <w:sz w:val="22"/>
          <w:szCs w:val="22"/>
        </w:rPr>
      </w:pPr>
      <w:r w:rsidRPr="00C9399A">
        <w:rPr>
          <w:rFonts w:ascii="Century Schoolbook" w:hAnsi="Century Schoolbook"/>
          <w:kern w:val="0"/>
          <w:sz w:val="22"/>
          <w:szCs w:val="22"/>
        </w:rPr>
        <w:t>DNA adduct data should be interpreted in the light of the known backgro</w:t>
      </w:r>
      <w:r w:rsidR="00B678D8">
        <w:rPr>
          <w:rFonts w:ascii="Century Schoolbook" w:hAnsi="Century Schoolbook"/>
          <w:kern w:val="0"/>
          <w:sz w:val="22"/>
          <w:szCs w:val="22"/>
        </w:rPr>
        <w:t>und level of endogenous adducts.</w:t>
      </w:r>
    </w:p>
    <w:p w:rsidR="001D26BE" w:rsidRPr="00C9399A" w:rsidRDefault="001D26BE" w:rsidP="004235DD">
      <w:pPr>
        <w:numPr>
          <w:ilvl w:val="0"/>
          <w:numId w:val="15"/>
        </w:numPr>
        <w:autoSpaceDE w:val="0"/>
        <w:autoSpaceDN w:val="0"/>
        <w:adjustRightInd w:val="0"/>
        <w:spacing w:after="120"/>
        <w:ind w:left="540"/>
        <w:textAlignment w:val="bottom"/>
        <w:rPr>
          <w:rFonts w:ascii="Century Schoolbook" w:hAnsi="Century Schoolbook"/>
          <w:bCs/>
          <w:kern w:val="0"/>
          <w:sz w:val="22"/>
          <w:szCs w:val="22"/>
        </w:rPr>
      </w:pPr>
      <w:r w:rsidRPr="00C9399A">
        <w:rPr>
          <w:rFonts w:ascii="Century Schoolbook" w:hAnsi="Century Schoolbook"/>
          <w:kern w:val="0"/>
          <w:sz w:val="22"/>
          <w:szCs w:val="22"/>
        </w:rPr>
        <w:t>I</w:t>
      </w:r>
      <w:r w:rsidRPr="00C9399A">
        <w:rPr>
          <w:rFonts w:ascii="Century Schoolbook" w:hAnsi="Century Schoolbook"/>
          <w:bCs/>
          <w:kern w:val="0"/>
          <w:sz w:val="22"/>
          <w:szCs w:val="22"/>
        </w:rPr>
        <w:t xml:space="preserve">ndirect, toxicity-related effects could influence the results of the DNA strand break assays (e.g., alkaline elution and Comet assays). </w:t>
      </w:r>
    </w:p>
    <w:p w:rsidR="001D26BE" w:rsidRPr="00C9399A" w:rsidRDefault="001D26BE" w:rsidP="00DA4303">
      <w:pPr>
        <w:autoSpaceDE w:val="0"/>
        <w:autoSpaceDN w:val="0"/>
        <w:adjustRightInd w:val="0"/>
        <w:spacing w:after="120"/>
        <w:ind w:left="540"/>
        <w:textAlignment w:val="bottom"/>
        <w:rPr>
          <w:rFonts w:ascii="Century Schoolbook" w:hAnsi="Century Schoolbook"/>
          <w:kern w:val="0"/>
          <w:sz w:val="22"/>
          <w:szCs w:val="22"/>
        </w:rPr>
      </w:pPr>
      <w:r w:rsidRPr="00C9399A">
        <w:rPr>
          <w:rFonts w:ascii="Century Schoolbook" w:hAnsi="Century Schoolbook"/>
          <w:kern w:val="0"/>
          <w:sz w:val="22"/>
          <w:szCs w:val="22"/>
        </w:rPr>
        <w:t xml:space="preserve">Thus it is important to take into account all the toxicological and hematological findings when evaluating the </w:t>
      </w:r>
      <w:proofErr w:type="spellStart"/>
      <w:r w:rsidRPr="00C9399A">
        <w:rPr>
          <w:rFonts w:ascii="Century Schoolbook" w:hAnsi="Century Schoolbook"/>
          <w:kern w:val="0"/>
          <w:sz w:val="22"/>
          <w:szCs w:val="22"/>
        </w:rPr>
        <w:t>genotoxicity</w:t>
      </w:r>
      <w:proofErr w:type="spellEnd"/>
      <w:r w:rsidRPr="00C9399A">
        <w:rPr>
          <w:rFonts w:ascii="Century Schoolbook" w:hAnsi="Century Schoolbook"/>
          <w:kern w:val="0"/>
          <w:sz w:val="22"/>
          <w:szCs w:val="22"/>
        </w:rPr>
        <w:t xml:space="preserve"> data (</w:t>
      </w:r>
      <w:r w:rsidR="00DB33C4">
        <w:rPr>
          <w:rFonts w:ascii="Century Schoolbook" w:hAnsi="Century Schoolbook"/>
          <w:kern w:val="0"/>
          <w:sz w:val="22"/>
          <w:szCs w:val="22"/>
        </w:rPr>
        <w:t>Note</w:t>
      </w:r>
      <w:r w:rsidRPr="00C9399A">
        <w:rPr>
          <w:rFonts w:ascii="Century Schoolbook" w:hAnsi="Century Schoolbook"/>
          <w:kern w:val="0"/>
          <w:sz w:val="22"/>
          <w:szCs w:val="22"/>
        </w:rPr>
        <w:t xml:space="preserve"> 15).  Indirect effects related to toxicological changes </w:t>
      </w:r>
      <w:r w:rsidRPr="00C9399A">
        <w:rPr>
          <w:rFonts w:ascii="Century Schoolbook" w:hAnsi="Century Schoolbook"/>
          <w:bCs/>
          <w:kern w:val="0"/>
          <w:sz w:val="22"/>
          <w:szCs w:val="22"/>
        </w:rPr>
        <w:t>could have a safety margin and might not be clinically relevant.</w:t>
      </w:r>
    </w:p>
    <w:p w:rsidR="00F97D75" w:rsidRPr="0078046D" w:rsidRDefault="001D26BE" w:rsidP="00AA186A">
      <w:pPr>
        <w:pStyle w:val="Heading2"/>
        <w:numPr>
          <w:ilvl w:val="1"/>
          <w:numId w:val="36"/>
        </w:numPr>
        <w:spacing w:before="180" w:after="120"/>
        <w:ind w:left="720" w:hanging="720"/>
        <w:rPr>
          <w:rFonts w:ascii="Century Schoolbook" w:hAnsi="Century Schoolbook"/>
          <w:bCs w:val="0"/>
          <w:i w:val="0"/>
          <w:kern w:val="0"/>
          <w:sz w:val="22"/>
          <w:szCs w:val="22"/>
        </w:rPr>
      </w:pPr>
      <w:bookmarkStart w:id="98" w:name="_Toc309742211"/>
      <w:bookmarkStart w:id="99" w:name="_Toc309835309"/>
      <w:r w:rsidRPr="0078046D">
        <w:rPr>
          <w:rFonts w:ascii="Century Schoolbook" w:hAnsi="Century Schoolbook"/>
          <w:bCs w:val="0"/>
          <w:i w:val="0"/>
          <w:kern w:val="0"/>
          <w:sz w:val="22"/>
          <w:szCs w:val="22"/>
        </w:rPr>
        <w:t>Follow</w:t>
      </w:r>
      <w:r w:rsidR="001303EB" w:rsidRPr="0078046D">
        <w:rPr>
          <w:rFonts w:ascii="Century Schoolbook" w:hAnsi="Century Schoolbook"/>
          <w:bCs w:val="0"/>
          <w:i w:val="0"/>
          <w:kern w:val="0"/>
          <w:sz w:val="22"/>
          <w:szCs w:val="22"/>
        </w:rPr>
        <w:t>-up Strategies for Positive Results</w:t>
      </w:r>
      <w:bookmarkEnd w:id="98"/>
      <w:bookmarkEnd w:id="99"/>
    </w:p>
    <w:p w:rsidR="001D26BE" w:rsidRPr="008B2ED1" w:rsidRDefault="001D26BE" w:rsidP="008B2ED1">
      <w:pPr>
        <w:pStyle w:val="Heading3"/>
        <w:numPr>
          <w:ilvl w:val="2"/>
          <w:numId w:val="36"/>
        </w:numPr>
        <w:spacing w:before="120"/>
        <w:rPr>
          <w:rFonts w:ascii="Century Schoolbook" w:hAnsi="Century Schoolbook"/>
          <w:bCs w:val="0"/>
          <w:i/>
          <w:kern w:val="0"/>
          <w:sz w:val="22"/>
          <w:szCs w:val="22"/>
        </w:rPr>
      </w:pPr>
      <w:bookmarkStart w:id="100" w:name="_Toc309742212"/>
      <w:bookmarkStart w:id="101" w:name="_Toc309835310"/>
      <w:r w:rsidRPr="008B2ED1">
        <w:rPr>
          <w:rFonts w:ascii="Century Schoolbook" w:hAnsi="Century Schoolbook"/>
          <w:bCs w:val="0"/>
          <w:i/>
          <w:kern w:val="0"/>
          <w:sz w:val="22"/>
          <w:szCs w:val="22"/>
        </w:rPr>
        <w:t>Follow</w:t>
      </w:r>
      <w:r w:rsidR="001303EB" w:rsidRPr="008B2ED1">
        <w:rPr>
          <w:rFonts w:ascii="Century Schoolbook" w:hAnsi="Century Schoolbook"/>
          <w:bCs w:val="0"/>
          <w:i/>
          <w:kern w:val="0"/>
          <w:sz w:val="22"/>
          <w:szCs w:val="22"/>
        </w:rPr>
        <w:t>-up to Findings</w:t>
      </w:r>
      <w:r w:rsidR="00311037">
        <w:rPr>
          <w:rFonts w:ascii="Century Schoolbook" w:hAnsi="Century Schoolbook"/>
          <w:bCs w:val="0"/>
          <w:i/>
          <w:kern w:val="0"/>
          <w:sz w:val="22"/>
          <w:szCs w:val="22"/>
        </w:rPr>
        <w:t xml:space="preserve"> in</w:t>
      </w:r>
      <w:r w:rsidR="001303EB" w:rsidRPr="008B2ED1">
        <w:rPr>
          <w:rFonts w:ascii="Century Schoolbook" w:hAnsi="Century Schoolbook"/>
          <w:bCs w:val="0"/>
          <w:i/>
          <w:kern w:val="0"/>
          <w:sz w:val="22"/>
          <w:szCs w:val="22"/>
        </w:rPr>
        <w:t xml:space="preserve"> </w:t>
      </w:r>
      <w:proofErr w:type="spellStart"/>
      <w:r w:rsidR="00311037">
        <w:rPr>
          <w:rFonts w:ascii="Century Schoolbook" w:hAnsi="Century Schoolbook"/>
          <w:bCs w:val="0"/>
          <w:i/>
          <w:kern w:val="0"/>
          <w:sz w:val="22"/>
          <w:szCs w:val="22"/>
        </w:rPr>
        <w:t>I</w:t>
      </w:r>
      <w:r w:rsidR="001303EB" w:rsidRPr="008B2ED1">
        <w:rPr>
          <w:rFonts w:ascii="Century Schoolbook" w:hAnsi="Century Schoolbook"/>
          <w:bCs w:val="0"/>
          <w:i/>
          <w:kern w:val="0"/>
          <w:sz w:val="22"/>
          <w:szCs w:val="22"/>
        </w:rPr>
        <w:t>n</w:t>
      </w:r>
      <w:proofErr w:type="spellEnd"/>
      <w:r w:rsidR="001303EB" w:rsidRPr="008B2ED1">
        <w:rPr>
          <w:rFonts w:ascii="Century Schoolbook" w:hAnsi="Century Schoolbook"/>
          <w:bCs w:val="0"/>
          <w:i/>
          <w:kern w:val="0"/>
          <w:sz w:val="22"/>
          <w:szCs w:val="22"/>
        </w:rPr>
        <w:t xml:space="preserve"> </w:t>
      </w:r>
      <w:r w:rsidR="00311037">
        <w:rPr>
          <w:rFonts w:ascii="Century Schoolbook" w:hAnsi="Century Schoolbook"/>
          <w:bCs w:val="0"/>
          <w:i/>
          <w:kern w:val="0"/>
          <w:sz w:val="22"/>
          <w:szCs w:val="22"/>
        </w:rPr>
        <w:t>V</w:t>
      </w:r>
      <w:r w:rsidR="001303EB" w:rsidRPr="008B2ED1">
        <w:rPr>
          <w:rFonts w:ascii="Century Schoolbook" w:hAnsi="Century Schoolbook"/>
          <w:bCs w:val="0"/>
          <w:i/>
          <w:kern w:val="0"/>
          <w:sz w:val="22"/>
          <w:szCs w:val="22"/>
        </w:rPr>
        <w:t xml:space="preserve">itro in </w:t>
      </w:r>
      <w:r w:rsidR="001303EB" w:rsidRPr="008B2ED1">
        <w:rPr>
          <w:rFonts w:ascii="Century Schoolbook" w:hAnsi="Century Schoolbook"/>
          <w:i/>
          <w:iCs/>
          <w:kern w:val="0"/>
          <w:sz w:val="22"/>
          <w:szCs w:val="22"/>
        </w:rPr>
        <w:t>Mammalian Cell</w:t>
      </w:r>
      <w:r w:rsidR="001303EB" w:rsidRPr="008B2ED1">
        <w:rPr>
          <w:rFonts w:ascii="Century Schoolbook" w:hAnsi="Century Schoolbook"/>
          <w:bCs w:val="0"/>
          <w:i/>
          <w:kern w:val="0"/>
          <w:sz w:val="22"/>
          <w:szCs w:val="22"/>
        </w:rPr>
        <w:t xml:space="preserve"> Tests</w:t>
      </w:r>
      <w:bookmarkEnd w:id="100"/>
      <w:bookmarkEnd w:id="101"/>
    </w:p>
    <w:p w:rsidR="00F97D75" w:rsidRPr="00F97D75" w:rsidRDefault="001D26BE" w:rsidP="00F97D75">
      <w:pPr>
        <w:autoSpaceDE w:val="0"/>
        <w:autoSpaceDN w:val="0"/>
        <w:adjustRightInd w:val="0"/>
        <w:spacing w:after="120"/>
        <w:textAlignment w:val="bottom"/>
        <w:rPr>
          <w:rFonts w:ascii="Century Schoolbook" w:hAnsi="Century Schoolbook"/>
          <w:bCs/>
          <w:kern w:val="0"/>
          <w:sz w:val="22"/>
          <w:szCs w:val="22"/>
        </w:rPr>
      </w:pPr>
      <w:r w:rsidRPr="00C9399A">
        <w:rPr>
          <w:rFonts w:ascii="Century Schoolbook" w:hAnsi="Century Schoolbook"/>
          <w:bCs/>
          <w:kern w:val="0"/>
          <w:sz w:val="22"/>
          <w:szCs w:val="22"/>
        </w:rPr>
        <w:t>The following discussion assumes negative results in the Ames bacterial mutation assay.</w:t>
      </w:r>
    </w:p>
    <w:p w:rsidR="00F97D75" w:rsidRPr="004235DD" w:rsidRDefault="00F97D75" w:rsidP="0073179A">
      <w:pPr>
        <w:numPr>
          <w:ilvl w:val="3"/>
          <w:numId w:val="18"/>
        </w:numPr>
        <w:tabs>
          <w:tab w:val="left" w:pos="810"/>
        </w:tabs>
        <w:autoSpaceDE w:val="0"/>
        <w:autoSpaceDN w:val="0"/>
        <w:adjustRightInd w:val="0"/>
        <w:spacing w:before="120" w:after="60"/>
        <w:ind w:left="810" w:hanging="810"/>
        <w:textAlignment w:val="bottom"/>
        <w:rPr>
          <w:rFonts w:ascii="Century Schoolbook" w:hAnsi="Century Schoolbook"/>
          <w:b/>
          <w:bCs/>
          <w:i/>
          <w:kern w:val="0"/>
          <w:sz w:val="22"/>
          <w:szCs w:val="22"/>
        </w:rPr>
      </w:pPr>
      <w:r w:rsidRPr="004235DD">
        <w:rPr>
          <w:rFonts w:ascii="Century Schoolbook" w:hAnsi="Century Schoolbook"/>
          <w:b/>
          <w:bCs/>
          <w:i/>
          <w:kern w:val="0"/>
          <w:sz w:val="22"/>
          <w:szCs w:val="22"/>
        </w:rPr>
        <w:t>Mechanistic/</w:t>
      </w:r>
      <w:r w:rsidR="001D2B20" w:rsidRPr="001D2B20">
        <w:rPr>
          <w:rFonts w:ascii="Century Schoolbook" w:hAnsi="Century Schoolbook"/>
          <w:b/>
          <w:bCs/>
          <w:i/>
          <w:kern w:val="0"/>
          <w:sz w:val="22"/>
          <w:szCs w:val="22"/>
        </w:rPr>
        <w:t>In Vivo</w:t>
      </w:r>
      <w:r w:rsidRPr="004235DD">
        <w:rPr>
          <w:rFonts w:ascii="Century Schoolbook" w:hAnsi="Century Schoolbook"/>
          <w:b/>
          <w:bCs/>
          <w:i/>
          <w:kern w:val="0"/>
          <w:sz w:val="22"/>
          <w:szCs w:val="22"/>
        </w:rPr>
        <w:t xml:space="preserve"> Follow-up</w:t>
      </w:r>
    </w:p>
    <w:p w:rsidR="001D26BE" w:rsidRPr="00C9399A" w:rsidRDefault="001D26BE" w:rsidP="004A62F4">
      <w:pPr>
        <w:autoSpaceDE w:val="0"/>
        <w:autoSpaceDN w:val="0"/>
        <w:adjustRightInd w:val="0"/>
        <w:spacing w:after="120"/>
        <w:textAlignment w:val="bottom"/>
        <w:rPr>
          <w:rFonts w:ascii="Century Schoolbook" w:hAnsi="Century Schoolbook"/>
          <w:kern w:val="0"/>
          <w:sz w:val="22"/>
          <w:szCs w:val="22"/>
        </w:rPr>
      </w:pPr>
      <w:r w:rsidRPr="00C9399A">
        <w:rPr>
          <w:rFonts w:ascii="Century Schoolbook" w:hAnsi="Century Schoolbook"/>
          <w:iCs/>
          <w:kern w:val="0"/>
          <w:sz w:val="22"/>
          <w:szCs w:val="22"/>
        </w:rPr>
        <w:t xml:space="preserve">When there is insufficient weight of evidence to indicate lack of relevance, </w:t>
      </w:r>
      <w:r w:rsidRPr="00C9399A">
        <w:rPr>
          <w:rFonts w:ascii="Century Schoolbook" w:hAnsi="Century Schoolbook"/>
          <w:kern w:val="0"/>
          <w:sz w:val="22"/>
          <w:szCs w:val="22"/>
        </w:rPr>
        <w:t xml:space="preserve">recommended follow-up for positive mammalian cell assays would be to provide experimental evidence, either by additional </w:t>
      </w:r>
      <w:r w:rsidRPr="00C9399A">
        <w:rPr>
          <w:rFonts w:ascii="Century Schoolbook" w:hAnsi="Century Schoolbook"/>
          <w:i/>
          <w:kern w:val="0"/>
          <w:sz w:val="22"/>
          <w:szCs w:val="22"/>
        </w:rPr>
        <w:t>in vitro</w:t>
      </w:r>
      <w:r w:rsidRPr="00C9399A">
        <w:rPr>
          <w:rFonts w:ascii="Century Schoolbook" w:hAnsi="Century Schoolbook"/>
          <w:kern w:val="0"/>
          <w:sz w:val="22"/>
          <w:szCs w:val="22"/>
        </w:rPr>
        <w:t xml:space="preserve"> studies (</w:t>
      </w:r>
      <w:proofErr w:type="spellStart"/>
      <w:r w:rsidRPr="00C9399A">
        <w:rPr>
          <w:rFonts w:ascii="Century Schoolbook" w:hAnsi="Century Schoolbook"/>
          <w:kern w:val="0"/>
          <w:sz w:val="22"/>
          <w:szCs w:val="22"/>
        </w:rPr>
        <w:t>i</w:t>
      </w:r>
      <w:proofErr w:type="spellEnd"/>
      <w:r w:rsidRPr="00C9399A">
        <w:rPr>
          <w:rFonts w:ascii="Century Schoolbook" w:hAnsi="Century Schoolbook"/>
          <w:kern w:val="0"/>
          <w:sz w:val="22"/>
          <w:szCs w:val="22"/>
        </w:rPr>
        <w:t xml:space="preserve">, below) </w:t>
      </w:r>
      <w:r w:rsidRPr="00C9399A">
        <w:rPr>
          <w:rFonts w:ascii="Century Schoolbook" w:hAnsi="Century Schoolbook"/>
          <w:b/>
          <w:i/>
          <w:kern w:val="0"/>
          <w:sz w:val="22"/>
          <w:szCs w:val="22"/>
          <w:u w:val="single"/>
        </w:rPr>
        <w:t>or</w:t>
      </w:r>
      <w:r w:rsidRPr="00C9399A">
        <w:rPr>
          <w:rFonts w:ascii="Century Schoolbook" w:hAnsi="Century Schoolbook"/>
          <w:kern w:val="0"/>
          <w:sz w:val="22"/>
          <w:szCs w:val="22"/>
        </w:rPr>
        <w:t xml:space="preserve"> by carrying out two appropriate </w:t>
      </w:r>
      <w:r w:rsidRPr="00C9399A">
        <w:rPr>
          <w:rFonts w:ascii="Century Schoolbook" w:hAnsi="Century Schoolbook"/>
          <w:i/>
          <w:kern w:val="0"/>
          <w:sz w:val="22"/>
          <w:szCs w:val="22"/>
        </w:rPr>
        <w:t>in vivo</w:t>
      </w:r>
      <w:r w:rsidRPr="00C9399A">
        <w:rPr>
          <w:rFonts w:ascii="Century Schoolbook" w:hAnsi="Century Schoolbook"/>
          <w:kern w:val="0"/>
          <w:sz w:val="22"/>
          <w:szCs w:val="22"/>
        </w:rPr>
        <w:t xml:space="preserve"> assays (ii, below), as follows:</w:t>
      </w:r>
    </w:p>
    <w:p w:rsidR="001D26BE" w:rsidRPr="00C9399A" w:rsidRDefault="001D26BE" w:rsidP="004235DD">
      <w:pPr>
        <w:numPr>
          <w:ilvl w:val="0"/>
          <w:numId w:val="16"/>
        </w:numPr>
        <w:autoSpaceDE w:val="0"/>
        <w:autoSpaceDN w:val="0"/>
        <w:adjustRightInd w:val="0"/>
        <w:spacing w:after="120"/>
        <w:ind w:left="540"/>
        <w:textAlignment w:val="bottom"/>
        <w:rPr>
          <w:rFonts w:ascii="Century Schoolbook" w:hAnsi="Century Schoolbook"/>
          <w:kern w:val="0"/>
          <w:sz w:val="22"/>
          <w:szCs w:val="22"/>
        </w:rPr>
      </w:pPr>
      <w:r w:rsidRPr="00C9399A">
        <w:rPr>
          <w:rFonts w:ascii="Century Schoolbook" w:hAnsi="Century Schoolbook"/>
          <w:kern w:val="0"/>
          <w:sz w:val="22"/>
          <w:szCs w:val="22"/>
        </w:rPr>
        <w:t xml:space="preserve">Mechanistic information that contributes to a weight of evidence for a lack of relevant </w:t>
      </w:r>
      <w:proofErr w:type="spellStart"/>
      <w:r w:rsidRPr="00C9399A">
        <w:rPr>
          <w:rFonts w:ascii="Century Schoolbook" w:hAnsi="Century Schoolbook"/>
          <w:kern w:val="0"/>
          <w:sz w:val="22"/>
          <w:szCs w:val="22"/>
        </w:rPr>
        <w:t>genotoxicity</w:t>
      </w:r>
      <w:proofErr w:type="spellEnd"/>
      <w:r w:rsidRPr="00C9399A">
        <w:rPr>
          <w:rFonts w:ascii="Century Schoolbook" w:hAnsi="Century Schoolbook"/>
          <w:kern w:val="0"/>
          <w:sz w:val="22"/>
          <w:szCs w:val="22"/>
        </w:rPr>
        <w:t xml:space="preserve"> is often generated </w:t>
      </w:r>
      <w:r w:rsidRPr="00C9399A">
        <w:rPr>
          <w:rFonts w:ascii="Century Schoolbook" w:hAnsi="Century Schoolbook"/>
          <w:i/>
          <w:kern w:val="0"/>
          <w:sz w:val="22"/>
          <w:szCs w:val="22"/>
        </w:rPr>
        <w:t>in vitro</w:t>
      </w:r>
      <w:r w:rsidRPr="00C9399A">
        <w:rPr>
          <w:rFonts w:ascii="Century Schoolbook" w:hAnsi="Century Schoolbook"/>
          <w:kern w:val="0"/>
          <w:sz w:val="22"/>
          <w:szCs w:val="22"/>
        </w:rPr>
        <w:t xml:space="preserve">, for example evidence that a test compound that induces chromosome aberrations or mutations in the MLA is not a DNA damaging agent (e.g., other negative mutation/DNA damage tests in addition to the Ames test; structural considerations), or evidence for an indirect mechanism that might not be relevant </w:t>
      </w:r>
      <w:r w:rsidRPr="00C9399A">
        <w:rPr>
          <w:rFonts w:ascii="Century Schoolbook" w:hAnsi="Century Schoolbook"/>
          <w:i/>
          <w:kern w:val="0"/>
          <w:sz w:val="22"/>
          <w:szCs w:val="22"/>
        </w:rPr>
        <w:t>in vivo</w:t>
      </w:r>
      <w:r w:rsidRPr="00C9399A">
        <w:rPr>
          <w:rFonts w:ascii="Century Schoolbook" w:hAnsi="Century Schoolbook"/>
          <w:kern w:val="0"/>
          <w:sz w:val="22"/>
          <w:szCs w:val="22"/>
        </w:rPr>
        <w:t xml:space="preserve"> or might have a threshold (</w:t>
      </w:r>
      <w:r w:rsidRPr="00C9399A">
        <w:rPr>
          <w:rFonts w:ascii="Century Schoolbook" w:hAnsi="Century Schoolbook"/>
          <w:iCs/>
          <w:kern w:val="0"/>
          <w:sz w:val="22"/>
          <w:szCs w:val="22"/>
        </w:rPr>
        <w:t xml:space="preserve">e.g., inhibition of DNA synthesis, reactive oxygen species produced only at high concentrations) (Galloway et al., 1998; Scott et al., 1991; </w:t>
      </w:r>
      <w:proofErr w:type="spellStart"/>
      <w:r w:rsidRPr="00C9399A">
        <w:rPr>
          <w:rFonts w:ascii="Century Schoolbook" w:hAnsi="Century Schoolbook"/>
          <w:iCs/>
          <w:kern w:val="0"/>
          <w:sz w:val="22"/>
          <w:szCs w:val="22"/>
        </w:rPr>
        <w:t>Müller</w:t>
      </w:r>
      <w:proofErr w:type="spellEnd"/>
      <w:r w:rsidRPr="00C9399A">
        <w:rPr>
          <w:rFonts w:ascii="Century Schoolbook" w:hAnsi="Century Schoolbook"/>
          <w:iCs/>
          <w:kern w:val="0"/>
          <w:sz w:val="22"/>
          <w:szCs w:val="22"/>
        </w:rPr>
        <w:t xml:space="preserve"> and Kasper, 2000).  Similar studies can be used to follow up a positive result in the </w:t>
      </w:r>
      <w:r w:rsidRPr="00C9399A">
        <w:rPr>
          <w:rFonts w:ascii="Century Schoolbook" w:hAnsi="Century Schoolbook"/>
          <w:i/>
          <w:iCs/>
          <w:kern w:val="0"/>
          <w:sz w:val="22"/>
          <w:szCs w:val="22"/>
        </w:rPr>
        <w:t>in vitro</w:t>
      </w:r>
      <w:r w:rsidRPr="00C9399A">
        <w:rPr>
          <w:rFonts w:ascii="Century Schoolbook" w:hAnsi="Century Schoolbook"/>
          <w:iCs/>
          <w:kern w:val="0"/>
          <w:sz w:val="22"/>
          <w:szCs w:val="22"/>
        </w:rPr>
        <w:t xml:space="preserve"> micronucleus assay, or in this case evidence can include a known mechanism that indicates chromosome loss/</w:t>
      </w:r>
      <w:proofErr w:type="spellStart"/>
      <w:r w:rsidRPr="00C9399A">
        <w:rPr>
          <w:rFonts w:ascii="Century Schoolbook" w:hAnsi="Century Schoolbook"/>
          <w:iCs/>
          <w:kern w:val="0"/>
          <w:sz w:val="22"/>
          <w:szCs w:val="22"/>
        </w:rPr>
        <w:t>aneuploidy</w:t>
      </w:r>
      <w:proofErr w:type="spellEnd"/>
      <w:r w:rsidRPr="00C9399A">
        <w:rPr>
          <w:rFonts w:ascii="Century Schoolbook" w:hAnsi="Century Schoolbook"/>
          <w:iCs/>
          <w:kern w:val="0"/>
          <w:sz w:val="22"/>
          <w:szCs w:val="22"/>
        </w:rPr>
        <w:t xml:space="preserve">, or </w:t>
      </w:r>
      <w:proofErr w:type="spellStart"/>
      <w:r w:rsidRPr="00C9399A">
        <w:rPr>
          <w:rFonts w:ascii="Century Schoolbook" w:hAnsi="Century Schoolbook"/>
          <w:iCs/>
          <w:kern w:val="0"/>
          <w:sz w:val="22"/>
          <w:szCs w:val="22"/>
        </w:rPr>
        <w:t>centromere</w:t>
      </w:r>
      <w:proofErr w:type="spellEnd"/>
      <w:r w:rsidRPr="00C9399A">
        <w:rPr>
          <w:rFonts w:ascii="Century Schoolbook" w:hAnsi="Century Schoolbook"/>
          <w:iCs/>
          <w:kern w:val="0"/>
          <w:sz w:val="22"/>
          <w:szCs w:val="22"/>
        </w:rPr>
        <w:t xml:space="preserve"> staining experiments (</w:t>
      </w:r>
      <w:r w:rsidR="00DB33C4">
        <w:rPr>
          <w:rFonts w:ascii="Century Schoolbook" w:hAnsi="Century Schoolbook"/>
          <w:iCs/>
          <w:kern w:val="0"/>
          <w:sz w:val="22"/>
          <w:szCs w:val="22"/>
        </w:rPr>
        <w:t>Note</w:t>
      </w:r>
      <w:r w:rsidRPr="00C9399A">
        <w:rPr>
          <w:rFonts w:ascii="Century Schoolbook" w:hAnsi="Century Schoolbook"/>
          <w:iCs/>
          <w:kern w:val="0"/>
          <w:sz w:val="22"/>
          <w:szCs w:val="22"/>
        </w:rPr>
        <w:t xml:space="preserve"> 17) that indicate chromosome loss.  Polyploidy is a common finding in chromosome aberration assays </w:t>
      </w:r>
      <w:r w:rsidRPr="00C9399A">
        <w:rPr>
          <w:rFonts w:ascii="Century Schoolbook" w:hAnsi="Century Schoolbook"/>
          <w:i/>
          <w:iCs/>
          <w:kern w:val="0"/>
          <w:sz w:val="22"/>
          <w:szCs w:val="22"/>
        </w:rPr>
        <w:t>in vitro</w:t>
      </w:r>
      <w:r w:rsidRPr="00C9399A">
        <w:rPr>
          <w:rFonts w:ascii="Century Schoolbook" w:hAnsi="Century Schoolbook"/>
          <w:iCs/>
          <w:kern w:val="0"/>
          <w:sz w:val="22"/>
          <w:szCs w:val="22"/>
        </w:rPr>
        <w:t xml:space="preserve">.  While </w:t>
      </w:r>
      <w:proofErr w:type="spellStart"/>
      <w:r w:rsidRPr="00C9399A">
        <w:rPr>
          <w:rFonts w:ascii="Century Schoolbook" w:hAnsi="Century Schoolbook"/>
          <w:iCs/>
          <w:kern w:val="0"/>
          <w:sz w:val="22"/>
          <w:szCs w:val="22"/>
        </w:rPr>
        <w:t>aneugens</w:t>
      </w:r>
      <w:proofErr w:type="spellEnd"/>
      <w:r w:rsidRPr="00C9399A">
        <w:rPr>
          <w:rFonts w:ascii="Century Schoolbook" w:hAnsi="Century Schoolbook"/>
          <w:iCs/>
          <w:kern w:val="0"/>
          <w:sz w:val="22"/>
          <w:szCs w:val="22"/>
        </w:rPr>
        <w:t xml:space="preserve"> can induce polyploidy, polyploidy alone does not indicate </w:t>
      </w:r>
      <w:proofErr w:type="spellStart"/>
      <w:r w:rsidRPr="00C9399A">
        <w:rPr>
          <w:rFonts w:ascii="Century Schoolbook" w:hAnsi="Century Schoolbook"/>
          <w:iCs/>
          <w:kern w:val="0"/>
          <w:sz w:val="22"/>
          <w:szCs w:val="22"/>
        </w:rPr>
        <w:t>aneugenic</w:t>
      </w:r>
      <w:proofErr w:type="spellEnd"/>
      <w:r w:rsidRPr="00C9399A">
        <w:rPr>
          <w:rFonts w:ascii="Century Schoolbook" w:hAnsi="Century Schoolbook"/>
          <w:iCs/>
          <w:kern w:val="0"/>
          <w:sz w:val="22"/>
          <w:szCs w:val="22"/>
        </w:rPr>
        <w:t xml:space="preserve"> potential and can simply indicate cell cycle perturbation; it is also commonly associated with increasing </w:t>
      </w:r>
      <w:proofErr w:type="spellStart"/>
      <w:r w:rsidRPr="00C9399A">
        <w:rPr>
          <w:rFonts w:ascii="Century Schoolbook" w:hAnsi="Century Schoolbook"/>
          <w:iCs/>
          <w:kern w:val="0"/>
          <w:sz w:val="22"/>
          <w:szCs w:val="22"/>
        </w:rPr>
        <w:t>cytotoxicity</w:t>
      </w:r>
      <w:proofErr w:type="spellEnd"/>
      <w:r w:rsidRPr="00C9399A">
        <w:rPr>
          <w:rFonts w:ascii="Century Schoolbook" w:hAnsi="Century Schoolbook"/>
          <w:iCs/>
          <w:kern w:val="0"/>
          <w:sz w:val="22"/>
          <w:szCs w:val="22"/>
        </w:rPr>
        <w:t xml:space="preserve">.  If polyploidy, but no structural chromosome breakage, is seen in an </w:t>
      </w:r>
      <w:r w:rsidRPr="00C9399A">
        <w:rPr>
          <w:rFonts w:ascii="Century Schoolbook" w:hAnsi="Century Schoolbook"/>
          <w:i/>
          <w:iCs/>
          <w:kern w:val="0"/>
          <w:sz w:val="22"/>
          <w:szCs w:val="22"/>
        </w:rPr>
        <w:t>in vitro</w:t>
      </w:r>
      <w:r w:rsidRPr="00C9399A">
        <w:rPr>
          <w:rFonts w:ascii="Century Schoolbook" w:hAnsi="Century Schoolbook"/>
          <w:iCs/>
          <w:kern w:val="0"/>
          <w:sz w:val="22"/>
          <w:szCs w:val="22"/>
        </w:rPr>
        <w:t xml:space="preserve"> assay, generally a negative </w:t>
      </w:r>
      <w:r w:rsidRPr="00C9399A">
        <w:rPr>
          <w:rFonts w:ascii="Century Schoolbook" w:hAnsi="Century Schoolbook"/>
          <w:i/>
          <w:iCs/>
          <w:kern w:val="0"/>
          <w:sz w:val="22"/>
          <w:szCs w:val="22"/>
        </w:rPr>
        <w:t>in vivo</w:t>
      </w:r>
      <w:r w:rsidRPr="00C9399A">
        <w:rPr>
          <w:rFonts w:ascii="Century Schoolbook" w:hAnsi="Century Schoolbook"/>
          <w:iCs/>
          <w:kern w:val="0"/>
          <w:sz w:val="22"/>
          <w:szCs w:val="22"/>
        </w:rPr>
        <w:t xml:space="preserve"> micronucleus assay with assurance of appropriate exposure would provide </w:t>
      </w:r>
      <w:r w:rsidRPr="00C9399A">
        <w:rPr>
          <w:rFonts w:ascii="Century Schoolbook" w:hAnsi="Century Schoolbook"/>
          <w:iCs/>
          <w:kern w:val="0"/>
          <w:sz w:val="22"/>
          <w:szCs w:val="22"/>
        </w:rPr>
        <w:lastRenderedPageBreak/>
        <w:t xml:space="preserve">sufficient assurance of lack of potential for </w:t>
      </w:r>
      <w:proofErr w:type="spellStart"/>
      <w:r w:rsidRPr="00C9399A">
        <w:rPr>
          <w:rFonts w:ascii="Century Schoolbook" w:hAnsi="Century Schoolbook"/>
          <w:iCs/>
          <w:kern w:val="0"/>
          <w:sz w:val="22"/>
          <w:szCs w:val="22"/>
        </w:rPr>
        <w:t>aneuploidy</w:t>
      </w:r>
      <w:proofErr w:type="spellEnd"/>
      <w:r w:rsidRPr="00C9399A">
        <w:rPr>
          <w:rFonts w:ascii="Century Schoolbook" w:hAnsi="Century Schoolbook"/>
          <w:iCs/>
          <w:kern w:val="0"/>
          <w:sz w:val="22"/>
          <w:szCs w:val="22"/>
        </w:rPr>
        <w:t xml:space="preserve"> induction.</w:t>
      </w:r>
    </w:p>
    <w:p w:rsidR="001D26BE" w:rsidRPr="00C9399A" w:rsidRDefault="001D26BE" w:rsidP="00F97D75">
      <w:pPr>
        <w:autoSpaceDE w:val="0"/>
        <w:autoSpaceDN w:val="0"/>
        <w:adjustRightInd w:val="0"/>
        <w:spacing w:after="120"/>
        <w:ind w:left="540"/>
        <w:textAlignment w:val="bottom"/>
        <w:rPr>
          <w:rFonts w:ascii="Century Schoolbook" w:hAnsi="Century Schoolbook"/>
          <w:kern w:val="0"/>
          <w:sz w:val="22"/>
          <w:szCs w:val="22"/>
        </w:rPr>
      </w:pPr>
      <w:r w:rsidRPr="00C9399A">
        <w:rPr>
          <w:rFonts w:ascii="Century Schoolbook" w:hAnsi="Century Schoolbook"/>
          <w:kern w:val="0"/>
          <w:sz w:val="22"/>
          <w:szCs w:val="22"/>
        </w:rPr>
        <w:t xml:space="preserve">If the above mechanistic information and weight of evidence supports the lack of relevant </w:t>
      </w:r>
      <w:proofErr w:type="spellStart"/>
      <w:r w:rsidRPr="00C9399A">
        <w:rPr>
          <w:rFonts w:ascii="Century Schoolbook" w:hAnsi="Century Schoolbook"/>
          <w:kern w:val="0"/>
          <w:sz w:val="22"/>
          <w:szCs w:val="22"/>
        </w:rPr>
        <w:t>genotoxicity</w:t>
      </w:r>
      <w:proofErr w:type="spellEnd"/>
      <w:r w:rsidRPr="00C9399A">
        <w:rPr>
          <w:rFonts w:ascii="Century Schoolbook" w:hAnsi="Century Schoolbook"/>
          <w:kern w:val="0"/>
          <w:sz w:val="22"/>
          <w:szCs w:val="22"/>
        </w:rPr>
        <w:t xml:space="preserve">, only a single </w:t>
      </w:r>
      <w:r w:rsidRPr="00C9399A">
        <w:rPr>
          <w:rFonts w:ascii="Century Schoolbook" w:hAnsi="Century Schoolbook"/>
          <w:i/>
          <w:kern w:val="0"/>
          <w:sz w:val="22"/>
          <w:szCs w:val="22"/>
        </w:rPr>
        <w:t>in vivo</w:t>
      </w:r>
      <w:r w:rsidRPr="00C9399A">
        <w:rPr>
          <w:rFonts w:ascii="Century Schoolbook" w:hAnsi="Century Schoolbook"/>
          <w:kern w:val="0"/>
          <w:sz w:val="22"/>
          <w:szCs w:val="22"/>
        </w:rPr>
        <w:t xml:space="preserve"> test with appropriate evidence of exposure is called for in order to establish the lack of </w:t>
      </w:r>
      <w:proofErr w:type="spellStart"/>
      <w:r w:rsidRPr="00C9399A">
        <w:rPr>
          <w:rFonts w:ascii="Century Schoolbook" w:hAnsi="Century Schoolbook"/>
          <w:kern w:val="0"/>
          <w:sz w:val="22"/>
          <w:szCs w:val="22"/>
        </w:rPr>
        <w:t>genotoxic</w:t>
      </w:r>
      <w:proofErr w:type="spellEnd"/>
      <w:r w:rsidRPr="00C9399A">
        <w:rPr>
          <w:rFonts w:ascii="Century Schoolbook" w:hAnsi="Century Schoolbook"/>
          <w:kern w:val="0"/>
          <w:sz w:val="22"/>
          <w:szCs w:val="22"/>
        </w:rPr>
        <w:t xml:space="preserve"> activity.  This is typically a cytogenetic assay, and the micronucleus assay </w:t>
      </w:r>
      <w:r w:rsidRPr="00C9399A">
        <w:rPr>
          <w:rFonts w:ascii="Century Schoolbook" w:hAnsi="Century Schoolbook"/>
          <w:i/>
          <w:kern w:val="0"/>
          <w:sz w:val="22"/>
          <w:szCs w:val="22"/>
        </w:rPr>
        <w:t>in vivo</w:t>
      </w:r>
      <w:r w:rsidRPr="00C9399A">
        <w:rPr>
          <w:rFonts w:ascii="Century Schoolbook" w:hAnsi="Century Schoolbook"/>
          <w:kern w:val="0"/>
          <w:sz w:val="22"/>
          <w:szCs w:val="22"/>
        </w:rPr>
        <w:t xml:space="preserve"> is called for when following up potential for chromosome loss.</w:t>
      </w:r>
    </w:p>
    <w:p w:rsidR="001D26BE" w:rsidRPr="00C9399A" w:rsidRDefault="001D26BE" w:rsidP="00F97D75">
      <w:pPr>
        <w:autoSpaceDE w:val="0"/>
        <w:autoSpaceDN w:val="0"/>
        <w:adjustRightInd w:val="0"/>
        <w:spacing w:after="120"/>
        <w:ind w:left="540"/>
        <w:textAlignment w:val="bottom"/>
        <w:rPr>
          <w:rFonts w:ascii="Century Schoolbook" w:hAnsi="Century Schoolbook"/>
          <w:kern w:val="0"/>
          <w:sz w:val="22"/>
          <w:szCs w:val="22"/>
        </w:rPr>
      </w:pPr>
      <w:r w:rsidRPr="00C9399A">
        <w:rPr>
          <w:rFonts w:ascii="Century Schoolbook" w:hAnsi="Century Schoolbook"/>
          <w:kern w:val="0"/>
          <w:sz w:val="22"/>
          <w:szCs w:val="22"/>
        </w:rPr>
        <w:t xml:space="preserve">If there is not sufficient weight of evidence or mechanistic information to rule out relevant </w:t>
      </w:r>
      <w:proofErr w:type="spellStart"/>
      <w:r w:rsidRPr="00C9399A">
        <w:rPr>
          <w:rFonts w:ascii="Century Schoolbook" w:hAnsi="Century Schoolbook"/>
          <w:kern w:val="0"/>
          <w:sz w:val="22"/>
          <w:szCs w:val="22"/>
        </w:rPr>
        <w:t>genotoxic</w:t>
      </w:r>
      <w:proofErr w:type="spellEnd"/>
      <w:r w:rsidRPr="00C9399A">
        <w:rPr>
          <w:rFonts w:ascii="Century Schoolbook" w:hAnsi="Century Schoolbook"/>
          <w:kern w:val="0"/>
          <w:sz w:val="22"/>
          <w:szCs w:val="22"/>
        </w:rPr>
        <w:t xml:space="preserve"> potential, two </w:t>
      </w:r>
      <w:r w:rsidRPr="00C9399A">
        <w:rPr>
          <w:rFonts w:ascii="Century Schoolbook" w:hAnsi="Century Schoolbook"/>
          <w:i/>
          <w:kern w:val="0"/>
          <w:sz w:val="22"/>
          <w:szCs w:val="22"/>
        </w:rPr>
        <w:t>in vivo</w:t>
      </w:r>
      <w:r w:rsidRPr="00C9399A">
        <w:rPr>
          <w:rFonts w:ascii="Century Schoolbook" w:hAnsi="Century Schoolbook"/>
          <w:kern w:val="0"/>
          <w:sz w:val="22"/>
          <w:szCs w:val="22"/>
        </w:rPr>
        <w:t xml:space="preserve"> tests are generally called for, with appropriate endpoints and in appropriate tissues (usually two different tissues), and with an emphasis on obtaining sufficient exposure in the </w:t>
      </w:r>
      <w:r w:rsidRPr="00C9399A">
        <w:rPr>
          <w:rFonts w:ascii="Century Schoolbook" w:hAnsi="Century Schoolbook"/>
          <w:i/>
          <w:kern w:val="0"/>
          <w:sz w:val="22"/>
          <w:szCs w:val="22"/>
        </w:rPr>
        <w:t>in vivo</w:t>
      </w:r>
      <w:r w:rsidRPr="00C9399A">
        <w:rPr>
          <w:rFonts w:ascii="Century Schoolbook" w:hAnsi="Century Schoolbook"/>
          <w:kern w:val="0"/>
          <w:sz w:val="22"/>
          <w:szCs w:val="22"/>
        </w:rPr>
        <w:t xml:space="preserve"> models.</w:t>
      </w:r>
    </w:p>
    <w:p w:rsidR="001D26BE" w:rsidRPr="00C9399A" w:rsidRDefault="001D26BE" w:rsidP="00E44012">
      <w:pPr>
        <w:autoSpaceDE w:val="0"/>
        <w:autoSpaceDN w:val="0"/>
        <w:adjustRightInd w:val="0"/>
        <w:spacing w:after="120"/>
        <w:textAlignment w:val="bottom"/>
        <w:rPr>
          <w:rFonts w:ascii="Century Schoolbook" w:hAnsi="Century Schoolbook"/>
          <w:bCs/>
          <w:iCs/>
          <w:kern w:val="0"/>
          <w:sz w:val="22"/>
          <w:szCs w:val="22"/>
          <w:u w:val="single"/>
        </w:rPr>
      </w:pPr>
      <w:r w:rsidRPr="00C9399A">
        <w:rPr>
          <w:rFonts w:ascii="Century Schoolbook" w:hAnsi="Century Schoolbook"/>
          <w:bCs/>
          <w:iCs/>
          <w:kern w:val="0"/>
          <w:sz w:val="22"/>
          <w:szCs w:val="22"/>
          <w:u w:val="single"/>
        </w:rPr>
        <w:t>Or</w:t>
      </w:r>
    </w:p>
    <w:p w:rsidR="001D26BE" w:rsidRPr="00F97D75" w:rsidRDefault="001D26BE" w:rsidP="004235DD">
      <w:pPr>
        <w:numPr>
          <w:ilvl w:val="0"/>
          <w:numId w:val="16"/>
        </w:numPr>
        <w:autoSpaceDE w:val="0"/>
        <w:autoSpaceDN w:val="0"/>
        <w:adjustRightInd w:val="0"/>
        <w:spacing w:after="120"/>
        <w:ind w:left="540"/>
        <w:textAlignment w:val="bottom"/>
        <w:rPr>
          <w:rFonts w:ascii="Century Schoolbook" w:hAnsi="Century Schoolbook"/>
          <w:kern w:val="0"/>
          <w:sz w:val="22"/>
          <w:szCs w:val="22"/>
        </w:rPr>
      </w:pPr>
      <w:r w:rsidRPr="00C9399A">
        <w:rPr>
          <w:rFonts w:ascii="Century Schoolbook" w:hAnsi="Century Schoolbook"/>
          <w:kern w:val="0"/>
          <w:sz w:val="22"/>
          <w:szCs w:val="22"/>
        </w:rPr>
        <w:t xml:space="preserve">Two appropriate </w:t>
      </w:r>
      <w:r w:rsidRPr="00C9399A">
        <w:rPr>
          <w:rFonts w:ascii="Century Schoolbook" w:hAnsi="Century Schoolbook"/>
          <w:i/>
          <w:kern w:val="0"/>
          <w:sz w:val="22"/>
          <w:szCs w:val="22"/>
        </w:rPr>
        <w:t>in vivo</w:t>
      </w:r>
      <w:r w:rsidRPr="00C9399A">
        <w:rPr>
          <w:rFonts w:ascii="Century Schoolbook" w:hAnsi="Century Schoolbook"/>
          <w:kern w:val="0"/>
          <w:sz w:val="22"/>
          <w:szCs w:val="22"/>
        </w:rPr>
        <w:t xml:space="preserve"> assays are done, usually with different tissues, and with supporting demonstration of exposure.</w:t>
      </w:r>
    </w:p>
    <w:p w:rsidR="001D26BE" w:rsidRPr="00C9399A" w:rsidRDefault="001D26BE" w:rsidP="004A62F4">
      <w:pPr>
        <w:autoSpaceDE w:val="0"/>
        <w:autoSpaceDN w:val="0"/>
        <w:adjustRightInd w:val="0"/>
        <w:spacing w:after="120"/>
        <w:textAlignment w:val="bottom"/>
        <w:rPr>
          <w:rFonts w:ascii="Century Schoolbook" w:hAnsi="Century Schoolbook"/>
          <w:kern w:val="0"/>
          <w:sz w:val="22"/>
          <w:szCs w:val="22"/>
        </w:rPr>
      </w:pPr>
      <w:r w:rsidRPr="00C9399A">
        <w:rPr>
          <w:rFonts w:ascii="Century Schoolbook" w:hAnsi="Century Schoolbook"/>
          <w:kern w:val="0"/>
          <w:sz w:val="22"/>
          <w:szCs w:val="22"/>
        </w:rPr>
        <w:t xml:space="preserve">In summary, negative results in appropriate </w:t>
      </w:r>
      <w:r w:rsidRPr="00C9399A">
        <w:rPr>
          <w:rFonts w:ascii="Century Schoolbook" w:hAnsi="Century Schoolbook"/>
          <w:i/>
          <w:kern w:val="0"/>
          <w:sz w:val="22"/>
          <w:szCs w:val="22"/>
        </w:rPr>
        <w:t>in vivo</w:t>
      </w:r>
      <w:r w:rsidRPr="00C9399A">
        <w:rPr>
          <w:rFonts w:ascii="Century Schoolbook" w:hAnsi="Century Schoolbook"/>
          <w:kern w:val="0"/>
          <w:sz w:val="22"/>
          <w:szCs w:val="22"/>
        </w:rPr>
        <w:t xml:space="preserve"> assays, with adequate justification for the endpoints measured and demonstration of exposure (see </w:t>
      </w:r>
      <w:r w:rsidR="00DB33C4">
        <w:rPr>
          <w:rFonts w:ascii="Century Schoolbook" w:hAnsi="Century Schoolbook"/>
          <w:kern w:val="0"/>
          <w:sz w:val="22"/>
          <w:szCs w:val="22"/>
        </w:rPr>
        <w:t>Section</w:t>
      </w:r>
      <w:r w:rsidRPr="00C9399A">
        <w:rPr>
          <w:rFonts w:ascii="Century Schoolbook" w:hAnsi="Century Schoolbook"/>
          <w:kern w:val="0"/>
          <w:sz w:val="22"/>
          <w:szCs w:val="22"/>
        </w:rPr>
        <w:t xml:space="preserve"> 4.4.1) are considered sufficient to demonstrate absence of significant </w:t>
      </w:r>
      <w:proofErr w:type="spellStart"/>
      <w:r w:rsidRPr="00C9399A">
        <w:rPr>
          <w:rFonts w:ascii="Century Schoolbook" w:hAnsi="Century Schoolbook"/>
          <w:kern w:val="0"/>
          <w:sz w:val="22"/>
          <w:szCs w:val="22"/>
        </w:rPr>
        <w:t>genotoxic</w:t>
      </w:r>
      <w:proofErr w:type="spellEnd"/>
      <w:r w:rsidRPr="00C9399A">
        <w:rPr>
          <w:rFonts w:ascii="Century Schoolbook" w:hAnsi="Century Schoolbook"/>
          <w:kern w:val="0"/>
          <w:sz w:val="22"/>
          <w:szCs w:val="22"/>
        </w:rPr>
        <w:t xml:space="preserve"> risk.  </w:t>
      </w:r>
    </w:p>
    <w:p w:rsidR="001D26BE" w:rsidRPr="004235DD" w:rsidRDefault="001D26BE" w:rsidP="0073179A">
      <w:pPr>
        <w:numPr>
          <w:ilvl w:val="3"/>
          <w:numId w:val="18"/>
        </w:numPr>
        <w:autoSpaceDE w:val="0"/>
        <w:autoSpaceDN w:val="0"/>
        <w:adjustRightInd w:val="0"/>
        <w:spacing w:before="120" w:after="60"/>
        <w:ind w:left="810" w:hanging="810"/>
        <w:textAlignment w:val="bottom"/>
        <w:rPr>
          <w:rFonts w:ascii="Century Schoolbook" w:hAnsi="Century Schoolbook"/>
          <w:b/>
          <w:bCs/>
          <w:i/>
          <w:iCs/>
          <w:kern w:val="0"/>
          <w:sz w:val="22"/>
          <w:szCs w:val="22"/>
        </w:rPr>
      </w:pPr>
      <w:r w:rsidRPr="004235DD">
        <w:rPr>
          <w:rFonts w:ascii="Century Schoolbook" w:hAnsi="Century Schoolbook"/>
          <w:b/>
          <w:bCs/>
          <w:i/>
          <w:iCs/>
          <w:kern w:val="0"/>
          <w:sz w:val="22"/>
          <w:szCs w:val="22"/>
        </w:rPr>
        <w:t>Follow</w:t>
      </w:r>
      <w:r w:rsidR="001303EB" w:rsidRPr="004235DD">
        <w:rPr>
          <w:rFonts w:ascii="Century Schoolbook" w:hAnsi="Century Schoolbook"/>
          <w:b/>
          <w:bCs/>
          <w:i/>
          <w:iCs/>
          <w:kern w:val="0"/>
          <w:sz w:val="22"/>
          <w:szCs w:val="22"/>
        </w:rPr>
        <w:t xml:space="preserve">-up to an </w:t>
      </w:r>
      <w:r w:rsidR="001D2B20" w:rsidRPr="001D2B20">
        <w:rPr>
          <w:rFonts w:ascii="Century Schoolbook" w:hAnsi="Century Schoolbook"/>
          <w:b/>
          <w:bCs/>
          <w:i/>
          <w:iCs/>
          <w:kern w:val="0"/>
          <w:sz w:val="22"/>
          <w:szCs w:val="22"/>
        </w:rPr>
        <w:t>In Vitro</w:t>
      </w:r>
      <w:r w:rsidR="001303EB" w:rsidRPr="004235DD">
        <w:rPr>
          <w:rFonts w:ascii="Century Schoolbook" w:hAnsi="Century Schoolbook"/>
          <w:b/>
          <w:bCs/>
          <w:i/>
          <w:iCs/>
          <w:kern w:val="0"/>
          <w:sz w:val="22"/>
          <w:szCs w:val="22"/>
        </w:rPr>
        <w:t xml:space="preserve"> Positive Result That is Dependent upon </w:t>
      </w:r>
      <w:r w:rsidRPr="004235DD">
        <w:rPr>
          <w:rFonts w:ascii="Century Schoolbook" w:hAnsi="Century Schoolbook"/>
          <w:b/>
          <w:bCs/>
          <w:i/>
          <w:iCs/>
          <w:kern w:val="0"/>
          <w:sz w:val="22"/>
          <w:szCs w:val="22"/>
        </w:rPr>
        <w:t xml:space="preserve">S9 </w:t>
      </w:r>
      <w:r w:rsidR="001303EB" w:rsidRPr="004235DD">
        <w:rPr>
          <w:rFonts w:ascii="Century Schoolbook" w:hAnsi="Century Schoolbook"/>
          <w:b/>
          <w:bCs/>
          <w:i/>
          <w:iCs/>
          <w:kern w:val="0"/>
          <w:sz w:val="22"/>
          <w:szCs w:val="22"/>
        </w:rPr>
        <w:t>Activation</w:t>
      </w:r>
    </w:p>
    <w:p w:rsidR="001D26BE" w:rsidRPr="00C9399A" w:rsidRDefault="001D26BE" w:rsidP="004A62F4">
      <w:pPr>
        <w:autoSpaceDE w:val="0"/>
        <w:autoSpaceDN w:val="0"/>
        <w:adjustRightInd w:val="0"/>
        <w:spacing w:after="120"/>
        <w:textAlignment w:val="bottom"/>
        <w:rPr>
          <w:rFonts w:ascii="Century Schoolbook" w:hAnsi="Century Schoolbook"/>
          <w:iCs/>
          <w:kern w:val="0"/>
          <w:sz w:val="22"/>
          <w:szCs w:val="22"/>
        </w:rPr>
      </w:pPr>
      <w:r w:rsidRPr="00C9399A">
        <w:rPr>
          <w:rFonts w:ascii="Century Schoolbook" w:hAnsi="Century Schoolbook"/>
          <w:iCs/>
          <w:kern w:val="0"/>
          <w:sz w:val="22"/>
          <w:szCs w:val="22"/>
        </w:rPr>
        <w:t xml:space="preserve">When positive results are seen only in the presence of the S9 activation system, it should first be verified that metabolic activation is responsible and not some other difference in conditions (e.g., low or no serum in the S9 mix, compared with </w:t>
      </w:r>
      <w:r w:rsidRPr="00C9399A">
        <w:rPr>
          <w:rFonts w:ascii="Century Schoolbook" w:hAnsi="Century Schoolbook"/>
          <w:iCs/>
          <w:kern w:val="0"/>
          <w:sz w:val="22"/>
          <w:szCs w:val="22"/>
        </w:rPr>
        <w:sym w:font="Symbol" w:char="F0B3"/>
      </w:r>
      <w:r w:rsidRPr="00C9399A">
        <w:rPr>
          <w:rFonts w:ascii="Century Schoolbook" w:hAnsi="Century Schoolbook"/>
          <w:iCs/>
          <w:kern w:val="0"/>
          <w:sz w:val="22"/>
          <w:szCs w:val="22"/>
        </w:rPr>
        <w:t xml:space="preserve">10% serum in the non-activated incubations).  The follow-up strategy is then aimed at determining the relevance of the results </w:t>
      </w:r>
      <w:r w:rsidRPr="00C9399A">
        <w:rPr>
          <w:rFonts w:ascii="Century Schoolbook" w:hAnsi="Century Schoolbook"/>
          <w:i/>
          <w:iCs/>
          <w:kern w:val="0"/>
          <w:sz w:val="22"/>
          <w:szCs w:val="22"/>
        </w:rPr>
        <w:t>in vitro</w:t>
      </w:r>
      <w:r w:rsidRPr="00C9399A">
        <w:rPr>
          <w:rFonts w:ascii="Century Schoolbook" w:hAnsi="Century Schoolbook"/>
          <w:iCs/>
          <w:kern w:val="0"/>
          <w:sz w:val="22"/>
          <w:szCs w:val="22"/>
        </w:rPr>
        <w:t xml:space="preserve"> to conditions </w:t>
      </w:r>
      <w:r w:rsidRPr="00C9399A">
        <w:rPr>
          <w:rFonts w:ascii="Century Schoolbook" w:hAnsi="Century Schoolbook"/>
          <w:i/>
          <w:iCs/>
          <w:kern w:val="0"/>
          <w:sz w:val="22"/>
          <w:szCs w:val="22"/>
        </w:rPr>
        <w:t>in</w:t>
      </w:r>
      <w:r w:rsidRPr="00C9399A">
        <w:rPr>
          <w:rFonts w:ascii="Century Schoolbook" w:hAnsi="Century Schoolbook"/>
          <w:iCs/>
          <w:kern w:val="0"/>
          <w:sz w:val="22"/>
          <w:szCs w:val="22"/>
        </w:rPr>
        <w:t xml:space="preserve"> </w:t>
      </w:r>
      <w:r w:rsidRPr="00C9399A">
        <w:rPr>
          <w:rFonts w:ascii="Century Schoolbook" w:hAnsi="Century Schoolbook"/>
          <w:i/>
          <w:iCs/>
          <w:kern w:val="0"/>
          <w:sz w:val="22"/>
          <w:szCs w:val="22"/>
        </w:rPr>
        <w:t>vivo</w:t>
      </w:r>
      <w:r w:rsidRPr="00C9399A">
        <w:rPr>
          <w:rFonts w:ascii="Century Schoolbook" w:hAnsi="Century Schoolbook"/>
          <w:iCs/>
          <w:kern w:val="0"/>
          <w:sz w:val="22"/>
          <w:szCs w:val="22"/>
        </w:rPr>
        <w:t xml:space="preserve">, and will generally focus on </w:t>
      </w:r>
      <w:r w:rsidRPr="00C9399A">
        <w:rPr>
          <w:rFonts w:ascii="Century Schoolbook" w:hAnsi="Century Schoolbook"/>
          <w:i/>
          <w:iCs/>
          <w:kern w:val="0"/>
          <w:sz w:val="22"/>
          <w:szCs w:val="22"/>
        </w:rPr>
        <w:t>in vivo</w:t>
      </w:r>
      <w:r w:rsidRPr="00C9399A">
        <w:rPr>
          <w:rFonts w:ascii="Century Schoolbook" w:hAnsi="Century Schoolbook"/>
          <w:iCs/>
          <w:kern w:val="0"/>
          <w:sz w:val="22"/>
          <w:szCs w:val="22"/>
        </w:rPr>
        <w:t xml:space="preserve"> studies in liver (</w:t>
      </w:r>
      <w:r w:rsidR="00DB33C4">
        <w:rPr>
          <w:rFonts w:ascii="Century Schoolbook" w:hAnsi="Century Schoolbook"/>
          <w:iCs/>
          <w:kern w:val="0"/>
          <w:sz w:val="22"/>
          <w:szCs w:val="22"/>
        </w:rPr>
        <w:t>Note</w:t>
      </w:r>
      <w:r w:rsidRPr="00C9399A">
        <w:rPr>
          <w:rFonts w:ascii="Century Schoolbook" w:hAnsi="Century Schoolbook"/>
          <w:iCs/>
          <w:kern w:val="0"/>
          <w:sz w:val="22"/>
          <w:szCs w:val="22"/>
        </w:rPr>
        <w:t xml:space="preserve"> 18).</w:t>
      </w:r>
    </w:p>
    <w:p w:rsidR="001D26BE" w:rsidRPr="008B2ED1" w:rsidRDefault="001D26BE" w:rsidP="008B2ED1">
      <w:pPr>
        <w:pStyle w:val="Heading3"/>
        <w:numPr>
          <w:ilvl w:val="2"/>
          <w:numId w:val="36"/>
        </w:numPr>
        <w:spacing w:before="120"/>
        <w:rPr>
          <w:rFonts w:ascii="Century Schoolbook" w:hAnsi="Century Schoolbook"/>
          <w:bCs w:val="0"/>
          <w:i/>
          <w:iCs/>
          <w:kern w:val="0"/>
          <w:sz w:val="22"/>
          <w:szCs w:val="22"/>
        </w:rPr>
      </w:pPr>
      <w:bookmarkStart w:id="102" w:name="_Toc309742213"/>
      <w:bookmarkStart w:id="103" w:name="_Toc309835311"/>
      <w:r w:rsidRPr="008B2ED1">
        <w:rPr>
          <w:rFonts w:ascii="Century Schoolbook" w:hAnsi="Century Schoolbook"/>
          <w:bCs w:val="0"/>
          <w:i/>
          <w:iCs/>
          <w:kern w:val="0"/>
          <w:sz w:val="22"/>
          <w:szCs w:val="22"/>
        </w:rPr>
        <w:t>Follow</w:t>
      </w:r>
      <w:r w:rsidR="001303EB" w:rsidRPr="008B2ED1">
        <w:rPr>
          <w:rFonts w:ascii="Century Schoolbook" w:hAnsi="Century Schoolbook"/>
          <w:bCs w:val="0"/>
          <w:i/>
          <w:iCs/>
          <w:kern w:val="0"/>
          <w:sz w:val="22"/>
          <w:szCs w:val="22"/>
        </w:rPr>
        <w:t xml:space="preserve">-up to a Positive </w:t>
      </w:r>
      <w:proofErr w:type="gramStart"/>
      <w:r w:rsidR="0047360D">
        <w:rPr>
          <w:rFonts w:ascii="Century Schoolbook" w:hAnsi="Century Schoolbook"/>
          <w:bCs w:val="0"/>
          <w:i/>
          <w:iCs/>
          <w:kern w:val="0"/>
          <w:sz w:val="22"/>
          <w:szCs w:val="22"/>
        </w:rPr>
        <w:t>I</w:t>
      </w:r>
      <w:r w:rsidR="001303EB" w:rsidRPr="008B2ED1">
        <w:rPr>
          <w:rFonts w:ascii="Century Schoolbook" w:hAnsi="Century Schoolbook"/>
          <w:bCs w:val="0"/>
          <w:i/>
          <w:iCs/>
          <w:kern w:val="0"/>
          <w:sz w:val="22"/>
          <w:szCs w:val="22"/>
        </w:rPr>
        <w:t>n</w:t>
      </w:r>
      <w:proofErr w:type="gramEnd"/>
      <w:r w:rsidR="001303EB" w:rsidRPr="008B2ED1">
        <w:rPr>
          <w:rFonts w:ascii="Century Schoolbook" w:hAnsi="Century Schoolbook"/>
          <w:bCs w:val="0"/>
          <w:i/>
          <w:iCs/>
          <w:kern w:val="0"/>
          <w:sz w:val="22"/>
          <w:szCs w:val="22"/>
        </w:rPr>
        <w:t xml:space="preserve"> </w:t>
      </w:r>
      <w:r w:rsidR="0047360D">
        <w:rPr>
          <w:rFonts w:ascii="Century Schoolbook" w:hAnsi="Century Schoolbook"/>
          <w:bCs w:val="0"/>
          <w:i/>
          <w:iCs/>
          <w:kern w:val="0"/>
          <w:sz w:val="22"/>
          <w:szCs w:val="22"/>
        </w:rPr>
        <w:t>V</w:t>
      </w:r>
      <w:r w:rsidR="001303EB" w:rsidRPr="008B2ED1">
        <w:rPr>
          <w:rFonts w:ascii="Century Schoolbook" w:hAnsi="Century Schoolbook"/>
          <w:bCs w:val="0"/>
          <w:i/>
          <w:iCs/>
          <w:kern w:val="0"/>
          <w:sz w:val="22"/>
          <w:szCs w:val="22"/>
        </w:rPr>
        <w:t>ivo Micronucleus Assay</w:t>
      </w:r>
      <w:bookmarkEnd w:id="102"/>
      <w:bookmarkEnd w:id="103"/>
    </w:p>
    <w:p w:rsidR="001D26BE" w:rsidRPr="00C9399A" w:rsidRDefault="001D26BE" w:rsidP="004A62F4">
      <w:pPr>
        <w:autoSpaceDE w:val="0"/>
        <w:autoSpaceDN w:val="0"/>
        <w:adjustRightInd w:val="0"/>
        <w:spacing w:after="120"/>
        <w:textAlignment w:val="bottom"/>
        <w:rPr>
          <w:rFonts w:ascii="Century Schoolbook" w:hAnsi="Century Schoolbook"/>
          <w:iCs/>
          <w:kern w:val="0"/>
          <w:sz w:val="22"/>
          <w:szCs w:val="22"/>
        </w:rPr>
      </w:pPr>
      <w:r w:rsidRPr="00C9399A">
        <w:rPr>
          <w:rFonts w:ascii="Century Schoolbook" w:hAnsi="Century Schoolbook"/>
          <w:iCs/>
          <w:kern w:val="0"/>
          <w:sz w:val="22"/>
          <w:szCs w:val="22"/>
        </w:rPr>
        <w:t xml:space="preserve">If there is an increase in micronuclei </w:t>
      </w:r>
      <w:r w:rsidRPr="00C9399A">
        <w:rPr>
          <w:rFonts w:ascii="Century Schoolbook" w:hAnsi="Century Schoolbook"/>
          <w:i/>
          <w:iCs/>
          <w:kern w:val="0"/>
          <w:sz w:val="22"/>
          <w:szCs w:val="22"/>
        </w:rPr>
        <w:t>in vivo</w:t>
      </w:r>
      <w:r w:rsidRPr="00C9399A">
        <w:rPr>
          <w:rFonts w:ascii="Century Schoolbook" w:hAnsi="Century Schoolbook"/>
          <w:iCs/>
          <w:kern w:val="0"/>
          <w:sz w:val="22"/>
          <w:szCs w:val="22"/>
        </w:rPr>
        <w:t>, all the toxicological data should be evaluated to determine whether a non-</w:t>
      </w:r>
      <w:proofErr w:type="spellStart"/>
      <w:r w:rsidRPr="00C9399A">
        <w:rPr>
          <w:rFonts w:ascii="Century Schoolbook" w:hAnsi="Century Schoolbook"/>
          <w:iCs/>
          <w:kern w:val="0"/>
          <w:sz w:val="22"/>
          <w:szCs w:val="22"/>
        </w:rPr>
        <w:t>genotoxic</w:t>
      </w:r>
      <w:proofErr w:type="spellEnd"/>
      <w:r w:rsidRPr="00C9399A">
        <w:rPr>
          <w:rFonts w:ascii="Century Schoolbook" w:hAnsi="Century Schoolbook"/>
          <w:iCs/>
          <w:kern w:val="0"/>
          <w:sz w:val="22"/>
          <w:szCs w:val="22"/>
        </w:rPr>
        <w:t xml:space="preserve"> effect could be the cause or a contributing factor (</w:t>
      </w:r>
      <w:r w:rsidR="00DB33C4">
        <w:rPr>
          <w:rFonts w:ascii="Century Schoolbook" w:hAnsi="Century Schoolbook"/>
          <w:iCs/>
          <w:kern w:val="0"/>
          <w:sz w:val="22"/>
          <w:szCs w:val="22"/>
        </w:rPr>
        <w:t>Note</w:t>
      </w:r>
      <w:r w:rsidRPr="00C9399A">
        <w:rPr>
          <w:rFonts w:ascii="Century Schoolbook" w:hAnsi="Century Schoolbook"/>
          <w:iCs/>
          <w:kern w:val="0"/>
          <w:sz w:val="22"/>
          <w:szCs w:val="22"/>
        </w:rPr>
        <w:t xml:space="preserve"> 15).  If non-specific effects of disturbed </w:t>
      </w:r>
      <w:proofErr w:type="spellStart"/>
      <w:r w:rsidRPr="00C9399A">
        <w:rPr>
          <w:rFonts w:ascii="Century Schoolbook" w:hAnsi="Century Schoolbook"/>
          <w:iCs/>
          <w:kern w:val="0"/>
          <w:sz w:val="22"/>
          <w:szCs w:val="22"/>
        </w:rPr>
        <w:t>erythropoiesis</w:t>
      </w:r>
      <w:proofErr w:type="spellEnd"/>
      <w:r w:rsidRPr="00C9399A">
        <w:rPr>
          <w:rFonts w:ascii="Century Schoolbook" w:hAnsi="Century Schoolbook"/>
          <w:iCs/>
          <w:kern w:val="0"/>
          <w:sz w:val="22"/>
          <w:szCs w:val="22"/>
        </w:rPr>
        <w:t xml:space="preserve"> or physiology (such as hypo/hyperthermia) are suspected, an </w:t>
      </w:r>
      <w:r w:rsidRPr="00C9399A">
        <w:rPr>
          <w:rFonts w:ascii="Century Schoolbook" w:hAnsi="Century Schoolbook"/>
          <w:i/>
          <w:iCs/>
          <w:kern w:val="0"/>
          <w:sz w:val="22"/>
          <w:szCs w:val="22"/>
        </w:rPr>
        <w:t>in vivo</w:t>
      </w:r>
      <w:r w:rsidRPr="00C9399A">
        <w:rPr>
          <w:rFonts w:ascii="Century Schoolbook" w:hAnsi="Century Schoolbook"/>
          <w:iCs/>
          <w:kern w:val="0"/>
          <w:sz w:val="22"/>
          <w:szCs w:val="22"/>
        </w:rPr>
        <w:t xml:space="preserve"> assay for chromosome aberrations might be more appropriate.  If a “real</w:t>
      </w:r>
      <w:r w:rsidR="0047360D">
        <w:rPr>
          <w:rFonts w:ascii="Century Schoolbook" w:hAnsi="Century Schoolbook"/>
          <w:iCs/>
          <w:kern w:val="0"/>
          <w:sz w:val="22"/>
          <w:szCs w:val="22"/>
        </w:rPr>
        <w:t>”</w:t>
      </w:r>
      <w:r w:rsidRPr="00C9399A">
        <w:rPr>
          <w:rFonts w:ascii="Century Schoolbook" w:hAnsi="Century Schoolbook"/>
          <w:iCs/>
          <w:kern w:val="0"/>
          <w:sz w:val="22"/>
          <w:szCs w:val="22"/>
        </w:rPr>
        <w:t xml:space="preserve"> increase is suspected, strategies should be used to demonstrate whether the increase is due to chromosome loss or chromosome breakage (</w:t>
      </w:r>
      <w:r w:rsidR="00DB33C4">
        <w:rPr>
          <w:rFonts w:ascii="Century Schoolbook" w:hAnsi="Century Schoolbook"/>
          <w:iCs/>
          <w:kern w:val="0"/>
          <w:sz w:val="22"/>
          <w:szCs w:val="22"/>
        </w:rPr>
        <w:t>Note</w:t>
      </w:r>
      <w:r w:rsidRPr="00C9399A">
        <w:rPr>
          <w:rFonts w:ascii="Century Schoolbook" w:hAnsi="Century Schoolbook"/>
          <w:iCs/>
          <w:kern w:val="0"/>
          <w:sz w:val="22"/>
          <w:szCs w:val="22"/>
        </w:rPr>
        <w:t xml:space="preserve"> 17).  There is evidence that </w:t>
      </w:r>
      <w:proofErr w:type="spellStart"/>
      <w:r w:rsidRPr="00C9399A">
        <w:rPr>
          <w:rFonts w:ascii="Century Schoolbook" w:hAnsi="Century Schoolbook"/>
          <w:iCs/>
          <w:kern w:val="0"/>
          <w:sz w:val="22"/>
          <w:szCs w:val="22"/>
        </w:rPr>
        <w:t>aneuploidy</w:t>
      </w:r>
      <w:proofErr w:type="spellEnd"/>
      <w:r w:rsidRPr="00C9399A">
        <w:rPr>
          <w:rFonts w:ascii="Century Schoolbook" w:hAnsi="Century Schoolbook"/>
          <w:iCs/>
          <w:kern w:val="0"/>
          <w:sz w:val="22"/>
          <w:szCs w:val="22"/>
        </w:rPr>
        <w:t xml:space="preserve"> induction, e.g., with spindle poisons, follows a non-linear dose response.  Thus, it might be possible to determine that there is a threshold exposure below which chromosome loss is not expected and to determine whether an appropriate safety margin exists compared with clinical exposure.</w:t>
      </w:r>
    </w:p>
    <w:p w:rsidR="001D26BE" w:rsidRPr="00C9399A" w:rsidRDefault="001D26BE" w:rsidP="004A62F4">
      <w:pPr>
        <w:autoSpaceDE w:val="0"/>
        <w:autoSpaceDN w:val="0"/>
        <w:adjustRightInd w:val="0"/>
        <w:spacing w:after="120"/>
        <w:textAlignment w:val="bottom"/>
        <w:rPr>
          <w:rFonts w:ascii="Century Schoolbook" w:hAnsi="Century Schoolbook"/>
          <w:kern w:val="0"/>
          <w:sz w:val="22"/>
          <w:szCs w:val="22"/>
        </w:rPr>
      </w:pPr>
      <w:r w:rsidRPr="00C9399A">
        <w:rPr>
          <w:rFonts w:ascii="Century Schoolbook" w:hAnsi="Century Schoolbook"/>
          <w:kern w:val="0"/>
          <w:sz w:val="22"/>
          <w:szCs w:val="22"/>
        </w:rPr>
        <w:t xml:space="preserve">In conclusion, the assessment of the </w:t>
      </w:r>
      <w:proofErr w:type="spellStart"/>
      <w:r w:rsidRPr="00C9399A">
        <w:rPr>
          <w:rFonts w:ascii="Century Schoolbook" w:hAnsi="Century Schoolbook"/>
          <w:kern w:val="0"/>
          <w:sz w:val="22"/>
          <w:szCs w:val="22"/>
        </w:rPr>
        <w:t>genotoxic</w:t>
      </w:r>
      <w:proofErr w:type="spellEnd"/>
      <w:r w:rsidRPr="00C9399A">
        <w:rPr>
          <w:rFonts w:ascii="Century Schoolbook" w:hAnsi="Century Schoolbook"/>
          <w:kern w:val="0"/>
          <w:sz w:val="22"/>
          <w:szCs w:val="22"/>
        </w:rPr>
        <w:t xml:space="preserve"> potential of a compound should take into account the totality of the findings and acknowledge the intrinsic values and limitations of both </w:t>
      </w:r>
      <w:r w:rsidRPr="00C9399A">
        <w:rPr>
          <w:rFonts w:ascii="Century Schoolbook" w:hAnsi="Century Schoolbook"/>
          <w:i/>
          <w:iCs/>
          <w:kern w:val="0"/>
          <w:sz w:val="22"/>
          <w:szCs w:val="22"/>
        </w:rPr>
        <w:t xml:space="preserve">in vitro </w:t>
      </w:r>
      <w:r w:rsidRPr="00C9399A">
        <w:rPr>
          <w:rFonts w:ascii="Century Schoolbook" w:hAnsi="Century Schoolbook"/>
          <w:kern w:val="0"/>
          <w:sz w:val="22"/>
          <w:szCs w:val="22"/>
        </w:rPr>
        <w:t xml:space="preserve">and </w:t>
      </w:r>
      <w:r w:rsidRPr="00C9399A">
        <w:rPr>
          <w:rFonts w:ascii="Century Schoolbook" w:hAnsi="Century Schoolbook"/>
          <w:i/>
          <w:iCs/>
          <w:kern w:val="0"/>
          <w:sz w:val="22"/>
          <w:szCs w:val="22"/>
        </w:rPr>
        <w:t xml:space="preserve">in vivo </w:t>
      </w:r>
      <w:r w:rsidRPr="00C9399A">
        <w:rPr>
          <w:rFonts w:ascii="Century Schoolbook" w:hAnsi="Century Schoolbook"/>
          <w:kern w:val="0"/>
          <w:sz w:val="22"/>
          <w:szCs w:val="22"/>
        </w:rPr>
        <w:t>tests.</w:t>
      </w:r>
    </w:p>
    <w:p w:rsidR="001D26BE" w:rsidRPr="0078046D" w:rsidRDefault="001D26BE" w:rsidP="00AA186A">
      <w:pPr>
        <w:pStyle w:val="Heading2"/>
        <w:numPr>
          <w:ilvl w:val="1"/>
          <w:numId w:val="36"/>
        </w:numPr>
        <w:spacing w:before="180" w:after="120"/>
        <w:ind w:left="720" w:hanging="720"/>
        <w:rPr>
          <w:rFonts w:ascii="Century Schoolbook" w:hAnsi="Century Schoolbook"/>
          <w:i w:val="0"/>
          <w:kern w:val="0"/>
          <w:sz w:val="22"/>
          <w:szCs w:val="22"/>
        </w:rPr>
      </w:pPr>
      <w:bookmarkStart w:id="104" w:name="_Toc309742214"/>
      <w:bookmarkStart w:id="105" w:name="_Toc309835312"/>
      <w:r w:rsidRPr="0078046D">
        <w:rPr>
          <w:rFonts w:ascii="Century Schoolbook" w:hAnsi="Century Schoolbook"/>
          <w:i w:val="0"/>
          <w:kern w:val="0"/>
          <w:sz w:val="22"/>
          <w:szCs w:val="22"/>
        </w:rPr>
        <w:t>Follow</w:t>
      </w:r>
      <w:r w:rsidR="001303EB" w:rsidRPr="0078046D">
        <w:rPr>
          <w:rFonts w:ascii="Century Schoolbook" w:hAnsi="Century Schoolbook"/>
          <w:i w:val="0"/>
          <w:kern w:val="0"/>
          <w:sz w:val="22"/>
          <w:szCs w:val="22"/>
        </w:rPr>
        <w:t xml:space="preserve">-up </w:t>
      </w:r>
      <w:proofErr w:type="spellStart"/>
      <w:r w:rsidR="001303EB" w:rsidRPr="0078046D">
        <w:rPr>
          <w:rFonts w:ascii="Century Schoolbook" w:hAnsi="Century Schoolbook"/>
          <w:i w:val="0"/>
          <w:kern w:val="0"/>
          <w:sz w:val="22"/>
          <w:szCs w:val="22"/>
        </w:rPr>
        <w:t>Genotoxicity</w:t>
      </w:r>
      <w:proofErr w:type="spellEnd"/>
      <w:r w:rsidR="001303EB" w:rsidRPr="0078046D">
        <w:rPr>
          <w:rFonts w:ascii="Century Schoolbook" w:hAnsi="Century Schoolbook"/>
          <w:i w:val="0"/>
          <w:kern w:val="0"/>
          <w:sz w:val="22"/>
          <w:szCs w:val="22"/>
        </w:rPr>
        <w:t xml:space="preserve"> Testing in Relation to Tumor Findings in a Carcinogenicity Bioassay</w:t>
      </w:r>
      <w:bookmarkEnd w:id="104"/>
      <w:bookmarkEnd w:id="105"/>
    </w:p>
    <w:p w:rsidR="001D26BE" w:rsidRPr="00C9399A" w:rsidRDefault="001D26BE" w:rsidP="004A62F4">
      <w:pPr>
        <w:autoSpaceDE w:val="0"/>
        <w:autoSpaceDN w:val="0"/>
        <w:adjustRightInd w:val="0"/>
        <w:spacing w:after="120"/>
        <w:textAlignment w:val="bottom"/>
        <w:rPr>
          <w:rFonts w:ascii="Century Schoolbook" w:hAnsi="Century Schoolbook"/>
          <w:kern w:val="0"/>
          <w:sz w:val="22"/>
          <w:szCs w:val="22"/>
        </w:rPr>
      </w:pPr>
      <w:r w:rsidRPr="00C9399A">
        <w:rPr>
          <w:rFonts w:ascii="Century Schoolbook" w:hAnsi="Century Schoolbook"/>
          <w:kern w:val="0"/>
          <w:sz w:val="22"/>
          <w:szCs w:val="22"/>
        </w:rPr>
        <w:t xml:space="preserve">Additional </w:t>
      </w:r>
      <w:proofErr w:type="spellStart"/>
      <w:r w:rsidRPr="00C9399A">
        <w:rPr>
          <w:rFonts w:ascii="Century Schoolbook" w:hAnsi="Century Schoolbook"/>
          <w:kern w:val="0"/>
          <w:sz w:val="22"/>
          <w:szCs w:val="22"/>
        </w:rPr>
        <w:t>genotoxicity</w:t>
      </w:r>
      <w:proofErr w:type="spellEnd"/>
      <w:r w:rsidRPr="00C9399A">
        <w:rPr>
          <w:rFonts w:ascii="Century Schoolbook" w:hAnsi="Century Schoolbook"/>
          <w:kern w:val="0"/>
          <w:sz w:val="22"/>
          <w:szCs w:val="22"/>
        </w:rPr>
        <w:t xml:space="preserve"> testing in appropriate models can be conducted for compounds that were negative in the standard test battery but which have shown increases in tumors in carcinogenicity bioassay(s) with insufficient evidence to establish a non-</w:t>
      </w:r>
      <w:proofErr w:type="spellStart"/>
      <w:r w:rsidRPr="00C9399A">
        <w:rPr>
          <w:rFonts w:ascii="Century Schoolbook" w:hAnsi="Century Schoolbook"/>
          <w:kern w:val="0"/>
          <w:sz w:val="22"/>
          <w:szCs w:val="22"/>
        </w:rPr>
        <w:t>genotoxic</w:t>
      </w:r>
      <w:proofErr w:type="spellEnd"/>
      <w:r w:rsidRPr="00C9399A">
        <w:rPr>
          <w:rFonts w:ascii="Century Schoolbook" w:hAnsi="Century Schoolbook"/>
          <w:kern w:val="0"/>
          <w:sz w:val="22"/>
          <w:szCs w:val="22"/>
        </w:rPr>
        <w:t xml:space="preserve"> mechanism.  To help understand the mode of action, additional testing can include modified conditions for metabolic activation in </w:t>
      </w:r>
      <w:proofErr w:type="spellStart"/>
      <w:r w:rsidRPr="00C9399A">
        <w:rPr>
          <w:rFonts w:ascii="Century Schoolbook" w:hAnsi="Century Schoolbook"/>
          <w:i/>
          <w:iCs/>
          <w:kern w:val="0"/>
          <w:sz w:val="22"/>
          <w:szCs w:val="22"/>
        </w:rPr>
        <w:t>in</w:t>
      </w:r>
      <w:proofErr w:type="spellEnd"/>
      <w:r w:rsidRPr="00C9399A">
        <w:rPr>
          <w:rFonts w:ascii="Century Schoolbook" w:hAnsi="Century Schoolbook"/>
          <w:i/>
          <w:iCs/>
          <w:kern w:val="0"/>
          <w:sz w:val="22"/>
          <w:szCs w:val="22"/>
        </w:rPr>
        <w:t xml:space="preserve"> vitro </w:t>
      </w:r>
      <w:r w:rsidRPr="00C9399A">
        <w:rPr>
          <w:rFonts w:ascii="Century Schoolbook" w:hAnsi="Century Schoolbook"/>
          <w:kern w:val="0"/>
          <w:sz w:val="22"/>
          <w:szCs w:val="22"/>
        </w:rPr>
        <w:t xml:space="preserve">tests or can include </w:t>
      </w:r>
      <w:r w:rsidRPr="00C9399A">
        <w:rPr>
          <w:rFonts w:ascii="Century Schoolbook" w:hAnsi="Century Schoolbook"/>
          <w:i/>
          <w:kern w:val="0"/>
          <w:sz w:val="22"/>
          <w:szCs w:val="22"/>
        </w:rPr>
        <w:t>in vivo</w:t>
      </w:r>
      <w:r w:rsidRPr="00C9399A">
        <w:rPr>
          <w:rFonts w:ascii="Century Schoolbook" w:hAnsi="Century Schoolbook"/>
          <w:kern w:val="0"/>
          <w:sz w:val="22"/>
          <w:szCs w:val="22"/>
        </w:rPr>
        <w:t xml:space="preserve"> tests measuring genetic damage in target organs of tumor induction, such as DNA </w:t>
      </w:r>
      <w:r w:rsidRPr="00C9399A">
        <w:rPr>
          <w:rFonts w:ascii="Century Schoolbook" w:hAnsi="Century Schoolbook"/>
          <w:kern w:val="0"/>
          <w:sz w:val="22"/>
          <w:szCs w:val="22"/>
        </w:rPr>
        <w:lastRenderedPageBreak/>
        <w:t xml:space="preserve">strand break assays (e.g., comet or alkaline elution assays), liver UDS test, DNA covalent binding (e.g., by </w:t>
      </w:r>
      <w:r w:rsidRPr="00C9399A">
        <w:rPr>
          <w:rFonts w:ascii="Century Schoolbook" w:hAnsi="Century Schoolbook"/>
          <w:kern w:val="0"/>
          <w:sz w:val="22"/>
          <w:szCs w:val="22"/>
          <w:vertAlign w:val="superscript"/>
        </w:rPr>
        <w:t>32</w:t>
      </w:r>
      <w:r w:rsidRPr="00C9399A">
        <w:rPr>
          <w:rFonts w:ascii="Century Schoolbook" w:hAnsi="Century Schoolbook"/>
          <w:kern w:val="0"/>
          <w:sz w:val="22"/>
          <w:szCs w:val="22"/>
        </w:rPr>
        <w:t xml:space="preserve">P-postlabelling), mutation induction in </w:t>
      </w:r>
      <w:proofErr w:type="spellStart"/>
      <w:r w:rsidRPr="00C9399A">
        <w:rPr>
          <w:rFonts w:ascii="Century Schoolbook" w:hAnsi="Century Schoolbook"/>
          <w:kern w:val="0"/>
          <w:sz w:val="22"/>
          <w:szCs w:val="22"/>
        </w:rPr>
        <w:t>transgenes</w:t>
      </w:r>
      <w:proofErr w:type="spellEnd"/>
      <w:r w:rsidRPr="00C9399A">
        <w:rPr>
          <w:rFonts w:ascii="Century Schoolbook" w:hAnsi="Century Schoolbook"/>
          <w:kern w:val="0"/>
          <w:sz w:val="22"/>
          <w:szCs w:val="22"/>
        </w:rPr>
        <w:t>, or molecular characterization of genetic changes in tumor-related genes (Kasper et al., 2007).</w:t>
      </w:r>
    </w:p>
    <w:p w:rsidR="001D26BE" w:rsidRPr="00C6487E" w:rsidRDefault="000B3C1E" w:rsidP="009F058A">
      <w:pPr>
        <w:pStyle w:val="Heading1"/>
        <w:numPr>
          <w:ilvl w:val="0"/>
          <w:numId w:val="37"/>
        </w:numPr>
        <w:spacing w:after="180"/>
        <w:rPr>
          <w:rFonts w:ascii="Century Schoolbook" w:hAnsi="Century Schoolbook"/>
          <w:smallCaps/>
          <w:kern w:val="0"/>
          <w:sz w:val="22"/>
          <w:szCs w:val="22"/>
        </w:rPr>
      </w:pPr>
      <w:bookmarkStart w:id="106" w:name="_Toc309742215"/>
      <w:bookmarkStart w:id="107" w:name="_Toc309835313"/>
      <w:r w:rsidRPr="00C6487E">
        <w:rPr>
          <w:rFonts w:ascii="Century Schoolbook" w:hAnsi="Century Schoolbook"/>
          <w:smallCaps/>
          <w:kern w:val="0"/>
          <w:sz w:val="22"/>
          <w:szCs w:val="22"/>
        </w:rPr>
        <w:t>Notes</w:t>
      </w:r>
      <w:bookmarkEnd w:id="106"/>
      <w:bookmarkEnd w:id="107"/>
    </w:p>
    <w:p w:rsidR="001D26BE" w:rsidRPr="00C9399A" w:rsidRDefault="001D26BE" w:rsidP="004235DD">
      <w:pPr>
        <w:autoSpaceDE w:val="0"/>
        <w:autoSpaceDN w:val="0"/>
        <w:adjustRightInd w:val="0"/>
        <w:spacing w:after="120"/>
        <w:ind w:left="360" w:hanging="360"/>
        <w:textAlignment w:val="bottom"/>
        <w:rPr>
          <w:rFonts w:ascii="Century Schoolbook" w:hAnsi="Century Schoolbook"/>
          <w:bCs/>
          <w:kern w:val="0"/>
          <w:sz w:val="22"/>
          <w:szCs w:val="22"/>
        </w:rPr>
      </w:pPr>
      <w:r w:rsidRPr="00C9399A">
        <w:rPr>
          <w:rFonts w:ascii="Century Schoolbook" w:hAnsi="Century Schoolbook"/>
          <w:bCs/>
          <w:kern w:val="0"/>
          <w:sz w:val="22"/>
          <w:szCs w:val="22"/>
        </w:rPr>
        <w:t>1.</w:t>
      </w:r>
      <w:r w:rsidRPr="00C9399A">
        <w:rPr>
          <w:rFonts w:ascii="Century Schoolbook" w:hAnsi="Century Schoolbook"/>
          <w:bCs/>
          <w:kern w:val="0"/>
          <w:sz w:val="22"/>
          <w:szCs w:val="22"/>
        </w:rPr>
        <w:tab/>
        <w:t xml:space="preserve">The </w:t>
      </w:r>
      <w:r w:rsidRPr="00C9399A">
        <w:rPr>
          <w:rFonts w:ascii="Century Schoolbook" w:hAnsi="Century Schoolbook"/>
          <w:bCs/>
          <w:i/>
          <w:kern w:val="0"/>
          <w:sz w:val="22"/>
          <w:szCs w:val="22"/>
        </w:rPr>
        <w:t>in vitro</w:t>
      </w:r>
      <w:r w:rsidRPr="00C9399A">
        <w:rPr>
          <w:rFonts w:ascii="Century Schoolbook" w:hAnsi="Century Schoolbook"/>
          <w:bCs/>
          <w:kern w:val="0"/>
          <w:sz w:val="22"/>
          <w:szCs w:val="22"/>
        </w:rPr>
        <w:t xml:space="preserve"> micronucleus assay has been widely evaluated in international collaborative studies (Kirsch-</w:t>
      </w:r>
      <w:proofErr w:type="spellStart"/>
      <w:r w:rsidRPr="00C9399A">
        <w:rPr>
          <w:rFonts w:ascii="Century Schoolbook" w:hAnsi="Century Schoolbook"/>
          <w:bCs/>
          <w:kern w:val="0"/>
          <w:sz w:val="22"/>
          <w:szCs w:val="22"/>
        </w:rPr>
        <w:t>Volders</w:t>
      </w:r>
      <w:proofErr w:type="spellEnd"/>
      <w:r w:rsidRPr="00C9399A">
        <w:rPr>
          <w:rFonts w:ascii="Century Schoolbook" w:hAnsi="Century Schoolbook"/>
          <w:bCs/>
          <w:kern w:val="0"/>
          <w:sz w:val="22"/>
          <w:szCs w:val="22"/>
        </w:rPr>
        <w:t xml:space="preserve"> et al., 2003), is validated by ECVAM (</w:t>
      </w:r>
      <w:proofErr w:type="spellStart"/>
      <w:r w:rsidRPr="00C9399A">
        <w:rPr>
          <w:rFonts w:ascii="Century Schoolbook" w:hAnsi="Century Schoolbook"/>
          <w:bCs/>
          <w:kern w:val="0"/>
          <w:sz w:val="22"/>
          <w:szCs w:val="22"/>
        </w:rPr>
        <w:t>Corvi</w:t>
      </w:r>
      <w:proofErr w:type="spellEnd"/>
      <w:r w:rsidRPr="00C9399A">
        <w:rPr>
          <w:rFonts w:ascii="Century Schoolbook" w:hAnsi="Century Schoolbook"/>
          <w:bCs/>
          <w:kern w:val="0"/>
          <w:sz w:val="22"/>
          <w:szCs w:val="22"/>
        </w:rPr>
        <w:t xml:space="preserve"> et al., 2008), and is the subject of an OECD guideline </w:t>
      </w:r>
      <w:r w:rsidR="003D4A16" w:rsidRPr="00C9399A">
        <w:rPr>
          <w:rFonts w:ascii="Century Schoolbook" w:hAnsi="Century Schoolbook"/>
          <w:bCs/>
          <w:kern w:val="0"/>
          <w:sz w:val="22"/>
          <w:szCs w:val="22"/>
        </w:rPr>
        <w:t xml:space="preserve">487 </w:t>
      </w:r>
      <w:r w:rsidRPr="00C9399A">
        <w:rPr>
          <w:rFonts w:ascii="Century Schoolbook" w:hAnsi="Century Schoolbook"/>
          <w:bCs/>
          <w:kern w:val="0"/>
          <w:sz w:val="22"/>
          <w:szCs w:val="22"/>
        </w:rPr>
        <w:t>(2010).</w:t>
      </w:r>
    </w:p>
    <w:p w:rsidR="001D26BE" w:rsidRPr="00C9399A" w:rsidRDefault="001D26BE" w:rsidP="004235DD">
      <w:pPr>
        <w:autoSpaceDE w:val="0"/>
        <w:autoSpaceDN w:val="0"/>
        <w:adjustRightInd w:val="0"/>
        <w:spacing w:after="120"/>
        <w:ind w:left="360" w:hanging="360"/>
        <w:textAlignment w:val="bottom"/>
        <w:rPr>
          <w:rFonts w:ascii="Century Schoolbook" w:hAnsi="Century Schoolbook"/>
          <w:kern w:val="0"/>
          <w:sz w:val="22"/>
          <w:szCs w:val="22"/>
        </w:rPr>
      </w:pPr>
      <w:r w:rsidRPr="00C9399A">
        <w:rPr>
          <w:rFonts w:ascii="Century Schoolbook" w:hAnsi="Century Schoolbook"/>
          <w:kern w:val="0"/>
          <w:sz w:val="22"/>
          <w:szCs w:val="22"/>
        </w:rPr>
        <w:t>2.</w:t>
      </w:r>
      <w:r w:rsidRPr="00C9399A">
        <w:rPr>
          <w:rFonts w:ascii="Century Schoolbook" w:hAnsi="Century Schoolbook"/>
          <w:kern w:val="0"/>
          <w:sz w:val="22"/>
          <w:szCs w:val="22"/>
        </w:rPr>
        <w:tab/>
        <w:t xml:space="preserve">There </w:t>
      </w:r>
      <w:proofErr w:type="gramStart"/>
      <w:r w:rsidRPr="00C9399A">
        <w:rPr>
          <w:rFonts w:ascii="Century Schoolbook" w:hAnsi="Century Schoolbook"/>
          <w:kern w:val="0"/>
          <w:sz w:val="22"/>
          <w:szCs w:val="22"/>
        </w:rPr>
        <w:t>is</w:t>
      </w:r>
      <w:proofErr w:type="gramEnd"/>
      <w:r w:rsidRPr="00C9399A">
        <w:rPr>
          <w:rFonts w:ascii="Century Schoolbook" w:hAnsi="Century Schoolbook"/>
          <w:kern w:val="0"/>
          <w:sz w:val="22"/>
          <w:szCs w:val="22"/>
        </w:rPr>
        <w:t xml:space="preserve"> a small but significant number of </w:t>
      </w:r>
      <w:proofErr w:type="spellStart"/>
      <w:r w:rsidRPr="00C9399A">
        <w:rPr>
          <w:rFonts w:ascii="Century Schoolbook" w:hAnsi="Century Schoolbook"/>
          <w:kern w:val="0"/>
          <w:sz w:val="22"/>
          <w:szCs w:val="22"/>
        </w:rPr>
        <w:t>genotoxic</w:t>
      </w:r>
      <w:proofErr w:type="spellEnd"/>
      <w:r w:rsidRPr="00C9399A">
        <w:rPr>
          <w:rFonts w:ascii="Century Schoolbook" w:hAnsi="Century Schoolbook"/>
          <w:kern w:val="0"/>
          <w:sz w:val="22"/>
          <w:szCs w:val="22"/>
        </w:rPr>
        <w:t xml:space="preserve"> carcinogens that are reliably detected by the bone marrow tests for chromosomal damage but have yielded negative/weak/conflicting results in the </w:t>
      </w:r>
      <w:r w:rsidRPr="00C9399A">
        <w:rPr>
          <w:rFonts w:ascii="Century Schoolbook" w:hAnsi="Century Schoolbook"/>
          <w:i/>
          <w:iCs/>
          <w:kern w:val="0"/>
          <w:sz w:val="22"/>
          <w:szCs w:val="22"/>
        </w:rPr>
        <w:t xml:space="preserve">in vitro </w:t>
      </w:r>
      <w:r w:rsidRPr="00C9399A">
        <w:rPr>
          <w:rFonts w:ascii="Century Schoolbook" w:hAnsi="Century Schoolbook"/>
          <w:kern w:val="0"/>
          <w:sz w:val="22"/>
          <w:szCs w:val="22"/>
        </w:rPr>
        <w:t xml:space="preserve">tests outlined in the standard battery options.  Carcinogens such as </w:t>
      </w:r>
      <w:proofErr w:type="spellStart"/>
      <w:r w:rsidRPr="00C9399A">
        <w:rPr>
          <w:rFonts w:ascii="Century Schoolbook" w:hAnsi="Century Schoolbook"/>
          <w:kern w:val="0"/>
          <w:sz w:val="22"/>
          <w:szCs w:val="22"/>
        </w:rPr>
        <w:t>procarbazine</w:t>
      </w:r>
      <w:proofErr w:type="spellEnd"/>
      <w:r w:rsidRPr="00C9399A">
        <w:rPr>
          <w:rFonts w:ascii="Century Schoolbook" w:hAnsi="Century Schoolbook"/>
          <w:kern w:val="0"/>
          <w:sz w:val="22"/>
          <w:szCs w:val="22"/>
        </w:rPr>
        <w:t xml:space="preserve">, hydroquinone, urethane and benzene fall into this category.  Some other examples from a survey of companies are described by </w:t>
      </w:r>
      <w:proofErr w:type="spellStart"/>
      <w:r w:rsidRPr="00C9399A">
        <w:rPr>
          <w:rFonts w:ascii="Century Schoolbook" w:hAnsi="Century Schoolbook"/>
          <w:kern w:val="0"/>
          <w:sz w:val="22"/>
          <w:szCs w:val="22"/>
        </w:rPr>
        <w:t>Tweats</w:t>
      </w:r>
      <w:proofErr w:type="spellEnd"/>
      <w:r w:rsidRPr="00C9399A">
        <w:rPr>
          <w:rFonts w:ascii="Century Schoolbook" w:hAnsi="Century Schoolbook"/>
          <w:kern w:val="0"/>
          <w:sz w:val="22"/>
          <w:szCs w:val="22"/>
        </w:rPr>
        <w:t xml:space="preserve"> et al., 2007, II.</w:t>
      </w:r>
    </w:p>
    <w:p w:rsidR="001D26BE" w:rsidRPr="00C9399A" w:rsidRDefault="001D26BE" w:rsidP="004235DD">
      <w:pPr>
        <w:spacing w:after="120"/>
        <w:ind w:left="360" w:hanging="360"/>
        <w:rPr>
          <w:rFonts w:ascii="Century Schoolbook" w:hAnsi="Century Schoolbook"/>
          <w:b/>
          <w:i/>
          <w:kern w:val="0"/>
          <w:sz w:val="22"/>
          <w:szCs w:val="22"/>
        </w:rPr>
      </w:pPr>
      <w:r w:rsidRPr="00C9399A">
        <w:rPr>
          <w:rFonts w:ascii="Century Schoolbook" w:hAnsi="Century Schoolbook"/>
          <w:kern w:val="0"/>
          <w:sz w:val="22"/>
          <w:szCs w:val="22"/>
        </w:rPr>
        <w:t>3.</w:t>
      </w:r>
      <w:r w:rsidRPr="00C9399A">
        <w:rPr>
          <w:rFonts w:ascii="Century Schoolbook" w:hAnsi="Century Schoolbook"/>
          <w:kern w:val="0"/>
          <w:sz w:val="22"/>
          <w:szCs w:val="22"/>
        </w:rPr>
        <w:tab/>
        <w:t xml:space="preserve">In principle, micronuclei in hematopoietic cells can be evaluated in bone marrow from any species, and in blood from species that do not filter out circulating </w:t>
      </w:r>
      <w:proofErr w:type="spellStart"/>
      <w:r w:rsidRPr="00C9399A">
        <w:rPr>
          <w:rFonts w:ascii="Century Schoolbook" w:hAnsi="Century Schoolbook"/>
          <w:kern w:val="0"/>
          <w:sz w:val="22"/>
          <w:szCs w:val="22"/>
        </w:rPr>
        <w:t>micronucleated</w:t>
      </w:r>
      <w:proofErr w:type="spellEnd"/>
      <w:r w:rsidRPr="00C9399A">
        <w:rPr>
          <w:rFonts w:ascii="Century Schoolbook" w:hAnsi="Century Schoolbook"/>
          <w:kern w:val="0"/>
          <w:sz w:val="22"/>
          <w:szCs w:val="22"/>
        </w:rPr>
        <w:t xml:space="preserve"> erythrocytes in the spleen.  In laboratory mice, micronuclei can be measured in polychromatic erythrocytes in blood, and mature (</w:t>
      </w:r>
      <w:proofErr w:type="spellStart"/>
      <w:r w:rsidRPr="00C9399A">
        <w:rPr>
          <w:rFonts w:ascii="Century Schoolbook" w:hAnsi="Century Schoolbook"/>
          <w:kern w:val="0"/>
          <w:sz w:val="22"/>
          <w:szCs w:val="22"/>
        </w:rPr>
        <w:t>normochromatic</w:t>
      </w:r>
      <w:proofErr w:type="spellEnd"/>
      <w:r w:rsidRPr="00C9399A">
        <w:rPr>
          <w:rFonts w:ascii="Century Schoolbook" w:hAnsi="Century Schoolbook"/>
          <w:kern w:val="0"/>
          <w:sz w:val="22"/>
          <w:szCs w:val="22"/>
        </w:rPr>
        <w:t xml:space="preserve">) erythrocytes can be used when mice are treated continuously for about 4 weeks or more.  Although rats rapidly remove </w:t>
      </w:r>
      <w:proofErr w:type="spellStart"/>
      <w:r w:rsidRPr="00C9399A">
        <w:rPr>
          <w:rFonts w:ascii="Century Schoolbook" w:hAnsi="Century Schoolbook"/>
          <w:kern w:val="0"/>
          <w:sz w:val="22"/>
          <w:szCs w:val="22"/>
        </w:rPr>
        <w:t>micronucleated</w:t>
      </w:r>
      <w:proofErr w:type="spellEnd"/>
      <w:r w:rsidRPr="00C9399A">
        <w:rPr>
          <w:rFonts w:ascii="Century Schoolbook" w:hAnsi="Century Schoolbook"/>
          <w:kern w:val="0"/>
          <w:sz w:val="22"/>
          <w:szCs w:val="22"/>
        </w:rPr>
        <w:t xml:space="preserve"> erythrocytes from the circulation, it has been established that micronucleus induction by a range of </w:t>
      </w:r>
      <w:proofErr w:type="spellStart"/>
      <w:r w:rsidRPr="00C9399A">
        <w:rPr>
          <w:rFonts w:ascii="Century Schoolbook" w:hAnsi="Century Schoolbook"/>
          <w:kern w:val="0"/>
          <w:sz w:val="22"/>
          <w:szCs w:val="22"/>
        </w:rPr>
        <w:t>clastogens</w:t>
      </w:r>
      <w:proofErr w:type="spellEnd"/>
      <w:r w:rsidRPr="00C9399A">
        <w:rPr>
          <w:rFonts w:ascii="Century Schoolbook" w:hAnsi="Century Schoolbook"/>
          <w:kern w:val="0"/>
          <w:sz w:val="22"/>
          <w:szCs w:val="22"/>
        </w:rPr>
        <w:t xml:space="preserve"> and </w:t>
      </w:r>
      <w:proofErr w:type="spellStart"/>
      <w:r w:rsidRPr="00C9399A">
        <w:rPr>
          <w:rFonts w:ascii="Century Schoolbook" w:hAnsi="Century Schoolbook"/>
          <w:kern w:val="0"/>
          <w:sz w:val="22"/>
          <w:szCs w:val="22"/>
        </w:rPr>
        <w:t>aneugens</w:t>
      </w:r>
      <w:proofErr w:type="spellEnd"/>
      <w:r w:rsidRPr="00C9399A">
        <w:rPr>
          <w:rFonts w:ascii="Century Schoolbook" w:hAnsi="Century Schoolbook"/>
          <w:kern w:val="0"/>
          <w:sz w:val="22"/>
          <w:szCs w:val="22"/>
        </w:rPr>
        <w:t xml:space="preserve"> can be detected in rat blood </w:t>
      </w:r>
      <w:proofErr w:type="spellStart"/>
      <w:r w:rsidRPr="00C9399A">
        <w:rPr>
          <w:rFonts w:ascii="Century Schoolbook" w:hAnsi="Century Schoolbook"/>
          <w:kern w:val="0"/>
          <w:sz w:val="22"/>
          <w:szCs w:val="22"/>
        </w:rPr>
        <w:t>reticulocytes</w:t>
      </w:r>
      <w:proofErr w:type="spellEnd"/>
      <w:r w:rsidRPr="00C9399A">
        <w:rPr>
          <w:rFonts w:ascii="Century Schoolbook" w:hAnsi="Century Schoolbook"/>
          <w:kern w:val="0"/>
          <w:sz w:val="22"/>
          <w:szCs w:val="22"/>
        </w:rPr>
        <w:t xml:space="preserve"> (</w:t>
      </w:r>
      <w:proofErr w:type="spellStart"/>
      <w:r w:rsidRPr="00C9399A">
        <w:rPr>
          <w:rFonts w:ascii="Century Schoolbook" w:hAnsi="Century Schoolbook"/>
          <w:kern w:val="0"/>
          <w:sz w:val="22"/>
          <w:szCs w:val="22"/>
        </w:rPr>
        <w:t>Wakata</w:t>
      </w:r>
      <w:proofErr w:type="spellEnd"/>
      <w:r w:rsidRPr="00C9399A">
        <w:rPr>
          <w:rFonts w:ascii="Century Schoolbook" w:hAnsi="Century Schoolbook"/>
          <w:kern w:val="0"/>
          <w:sz w:val="22"/>
          <w:szCs w:val="22"/>
        </w:rPr>
        <w:t xml:space="preserve"> et al., 1998; Hamada et al., 2001).  Rat blood can be used for micronucleus analysis provided methods are used to ensure analysis of the newly formed </w:t>
      </w:r>
      <w:proofErr w:type="spellStart"/>
      <w:r w:rsidRPr="00C9399A">
        <w:rPr>
          <w:rFonts w:ascii="Century Schoolbook" w:hAnsi="Century Schoolbook"/>
          <w:kern w:val="0"/>
          <w:sz w:val="22"/>
          <w:szCs w:val="22"/>
        </w:rPr>
        <w:t>reticulocytes</w:t>
      </w:r>
      <w:proofErr w:type="spellEnd"/>
      <w:r w:rsidRPr="00C9399A">
        <w:rPr>
          <w:rFonts w:ascii="Century Schoolbook" w:hAnsi="Century Schoolbook"/>
          <w:kern w:val="0"/>
          <w:sz w:val="22"/>
          <w:szCs w:val="22"/>
        </w:rPr>
        <w:t xml:space="preserve"> (Hayashi et al., 2007; </w:t>
      </w:r>
      <w:proofErr w:type="spellStart"/>
      <w:r w:rsidRPr="00C9399A">
        <w:rPr>
          <w:rFonts w:ascii="Century Schoolbook" w:hAnsi="Century Schoolbook"/>
          <w:kern w:val="0"/>
          <w:sz w:val="22"/>
          <w:szCs w:val="22"/>
        </w:rPr>
        <w:t>MacGregor</w:t>
      </w:r>
      <w:proofErr w:type="spellEnd"/>
      <w:r w:rsidRPr="00C9399A">
        <w:rPr>
          <w:rFonts w:ascii="Century Schoolbook" w:hAnsi="Century Schoolbook"/>
          <w:kern w:val="0"/>
          <w:sz w:val="22"/>
          <w:szCs w:val="22"/>
        </w:rPr>
        <w:t xml:space="preserve"> et al., 2006), and the sample size is sufficiently large to provide appropriate statistical sensitivity given the lower micronucleus levels in rat blood than in bone marrow (</w:t>
      </w:r>
      <w:proofErr w:type="spellStart"/>
      <w:r w:rsidRPr="00C9399A">
        <w:rPr>
          <w:rFonts w:ascii="Century Schoolbook" w:hAnsi="Century Schoolbook"/>
          <w:kern w:val="0"/>
          <w:sz w:val="22"/>
          <w:szCs w:val="22"/>
        </w:rPr>
        <w:t>Kissling</w:t>
      </w:r>
      <w:proofErr w:type="spellEnd"/>
      <w:r w:rsidRPr="00C9399A">
        <w:rPr>
          <w:rFonts w:ascii="Century Schoolbook" w:hAnsi="Century Schoolbook"/>
          <w:kern w:val="0"/>
          <w:sz w:val="22"/>
          <w:szCs w:val="22"/>
        </w:rPr>
        <w:t xml:space="preserve"> et al., 2007).  Whichever method is chosen, bone marrow or blood, automated or manual analysis, each laboratory should determine the appropriate minimum sample size to ensure that scoring error is maintained below the level of animal-to-animal variation.</w:t>
      </w:r>
    </w:p>
    <w:p w:rsidR="001D26BE" w:rsidRPr="00C9399A" w:rsidRDefault="001D26BE" w:rsidP="004235DD">
      <w:pPr>
        <w:autoSpaceDE w:val="0"/>
        <w:autoSpaceDN w:val="0"/>
        <w:adjustRightInd w:val="0"/>
        <w:spacing w:after="120"/>
        <w:ind w:left="360"/>
        <w:textAlignment w:val="bottom"/>
        <w:rPr>
          <w:rFonts w:ascii="Century Schoolbook" w:hAnsi="Century Schoolbook"/>
          <w:kern w:val="0"/>
          <w:sz w:val="22"/>
          <w:szCs w:val="22"/>
        </w:rPr>
      </w:pPr>
      <w:r w:rsidRPr="00C9399A">
        <w:rPr>
          <w:rFonts w:ascii="Century Schoolbook" w:hAnsi="Century Schoolbook"/>
          <w:kern w:val="0"/>
          <w:sz w:val="22"/>
          <w:szCs w:val="22"/>
        </w:rPr>
        <w:t>Some experience is now available for micronucleus induction in the dog and rhesus monkey (Harper et al., 2007; Hotchkiss et al., 2008).  One example where such alternative species might be useful would be in evaluation of a human metabolite that was not sufficiently represented in rodents but was formed in the dog or monkey.</w:t>
      </w:r>
    </w:p>
    <w:p w:rsidR="001D26BE" w:rsidRPr="00C9399A" w:rsidRDefault="001D26BE" w:rsidP="004235DD">
      <w:pPr>
        <w:autoSpaceDE w:val="0"/>
        <w:autoSpaceDN w:val="0"/>
        <w:adjustRightInd w:val="0"/>
        <w:spacing w:after="120"/>
        <w:ind w:left="360" w:hanging="360"/>
        <w:textAlignment w:val="bottom"/>
        <w:rPr>
          <w:rFonts w:ascii="Century Schoolbook" w:hAnsi="Century Schoolbook"/>
          <w:kern w:val="0"/>
          <w:sz w:val="22"/>
          <w:szCs w:val="22"/>
        </w:rPr>
      </w:pPr>
      <w:r w:rsidRPr="00C9399A">
        <w:rPr>
          <w:rFonts w:ascii="Century Schoolbook" w:hAnsi="Century Schoolbook"/>
          <w:kern w:val="0"/>
          <w:sz w:val="22"/>
          <w:szCs w:val="22"/>
        </w:rPr>
        <w:t xml:space="preserve">4. </w:t>
      </w:r>
      <w:r w:rsidRPr="00C9399A">
        <w:rPr>
          <w:rFonts w:ascii="Century Schoolbook" w:hAnsi="Century Schoolbook"/>
          <w:kern w:val="0"/>
          <w:sz w:val="22"/>
          <w:szCs w:val="22"/>
        </w:rPr>
        <w:tab/>
        <w:t>While the two options in the battery are equally suitable, specific knowledge about an individual test compound can indicate that one option is preferable.</w:t>
      </w:r>
      <w:r w:rsidR="002A5938">
        <w:rPr>
          <w:rFonts w:ascii="Century Schoolbook" w:hAnsi="Century Schoolbook"/>
          <w:kern w:val="0"/>
          <w:sz w:val="22"/>
          <w:szCs w:val="22"/>
        </w:rPr>
        <w:t xml:space="preserve"> </w:t>
      </w:r>
      <w:r w:rsidRPr="00C9399A">
        <w:rPr>
          <w:rFonts w:ascii="Century Schoolbook" w:hAnsi="Century Schoolbook"/>
          <w:kern w:val="0"/>
          <w:sz w:val="22"/>
          <w:szCs w:val="22"/>
        </w:rPr>
        <w:t xml:space="preserve"> For example, if systemic exposure in animal models is equal to or less than anticipated clinical exposure, </w:t>
      </w:r>
      <w:r w:rsidR="00DB33C4" w:rsidRPr="00DB33C4">
        <w:rPr>
          <w:rFonts w:ascii="Century Schoolbook" w:hAnsi="Century Schoolbook"/>
          <w:i/>
          <w:kern w:val="0"/>
          <w:sz w:val="22"/>
          <w:szCs w:val="22"/>
        </w:rPr>
        <w:t>in vitro</w:t>
      </w:r>
      <w:r w:rsidRPr="00C9399A">
        <w:rPr>
          <w:rFonts w:ascii="Century Schoolbook" w:hAnsi="Century Schoolbook"/>
          <w:kern w:val="0"/>
          <w:sz w:val="22"/>
          <w:szCs w:val="22"/>
        </w:rPr>
        <w:t xml:space="preserve"> assays should be employed: Option 1 (see also </w:t>
      </w:r>
      <w:r w:rsidR="00DB33C4">
        <w:rPr>
          <w:rFonts w:ascii="Century Schoolbook" w:hAnsi="Century Schoolbook"/>
          <w:kern w:val="0"/>
          <w:sz w:val="22"/>
          <w:szCs w:val="22"/>
        </w:rPr>
        <w:t>Section</w:t>
      </w:r>
      <w:r w:rsidR="002A5938">
        <w:rPr>
          <w:rFonts w:ascii="Century Schoolbook" w:hAnsi="Century Schoolbook"/>
          <w:kern w:val="0"/>
          <w:sz w:val="22"/>
          <w:szCs w:val="22"/>
        </w:rPr>
        <w:t>s 2.3.4</w:t>
      </w:r>
      <w:r w:rsidRPr="00C9399A">
        <w:rPr>
          <w:rFonts w:ascii="Century Schoolbook" w:hAnsi="Century Schoolbook"/>
          <w:kern w:val="0"/>
          <w:sz w:val="22"/>
          <w:szCs w:val="22"/>
        </w:rPr>
        <w:t xml:space="preserve"> and 4.4.1).  On the other hand Option 2, including a test in liver, is recommended in cases where short-lived reactive metabolites are expected to be generated in the liver. </w:t>
      </w:r>
    </w:p>
    <w:p w:rsidR="001D26BE" w:rsidRPr="00C9399A" w:rsidRDefault="001D26BE" w:rsidP="004235DD">
      <w:pPr>
        <w:autoSpaceDE w:val="0"/>
        <w:autoSpaceDN w:val="0"/>
        <w:adjustRightInd w:val="0"/>
        <w:spacing w:after="120"/>
        <w:ind w:left="360" w:hanging="360"/>
        <w:textAlignment w:val="bottom"/>
        <w:rPr>
          <w:rFonts w:ascii="Century Schoolbook" w:hAnsi="Century Schoolbook"/>
          <w:kern w:val="0"/>
          <w:sz w:val="22"/>
          <w:szCs w:val="22"/>
        </w:rPr>
      </w:pPr>
      <w:r w:rsidRPr="00C9399A">
        <w:rPr>
          <w:rFonts w:ascii="Century Schoolbook" w:hAnsi="Century Schoolbook"/>
          <w:kern w:val="0"/>
          <w:sz w:val="22"/>
          <w:szCs w:val="22"/>
        </w:rPr>
        <w:t>5.</w:t>
      </w:r>
      <w:r w:rsidRPr="00C9399A">
        <w:rPr>
          <w:rFonts w:ascii="Century Schoolbook" w:hAnsi="Century Schoolbook"/>
          <w:kern w:val="0"/>
          <w:sz w:val="22"/>
          <w:szCs w:val="22"/>
        </w:rPr>
        <w:tab/>
        <w:t xml:space="preserve">Certain structurally alerting molecular entities are recognized as being causally related to the carcinogenic and/or mutagenic potential of chemicals.  Examples of structural alerts include </w:t>
      </w:r>
      <w:proofErr w:type="spellStart"/>
      <w:r w:rsidRPr="00C9399A">
        <w:rPr>
          <w:rFonts w:ascii="Century Schoolbook" w:hAnsi="Century Schoolbook"/>
          <w:kern w:val="0"/>
          <w:sz w:val="22"/>
          <w:szCs w:val="22"/>
        </w:rPr>
        <w:t>alkylating</w:t>
      </w:r>
      <w:proofErr w:type="spellEnd"/>
      <w:r w:rsidRPr="00C9399A">
        <w:rPr>
          <w:rFonts w:ascii="Century Schoolbook" w:hAnsi="Century Schoolbook"/>
          <w:kern w:val="0"/>
          <w:sz w:val="22"/>
          <w:szCs w:val="22"/>
        </w:rPr>
        <w:t xml:space="preserve"> </w:t>
      </w:r>
      <w:proofErr w:type="spellStart"/>
      <w:r w:rsidRPr="00C9399A">
        <w:rPr>
          <w:rFonts w:ascii="Century Schoolbook" w:hAnsi="Century Schoolbook"/>
          <w:kern w:val="0"/>
          <w:sz w:val="22"/>
          <w:szCs w:val="22"/>
        </w:rPr>
        <w:t>electrophilic</w:t>
      </w:r>
      <w:proofErr w:type="spellEnd"/>
      <w:r w:rsidRPr="00C9399A">
        <w:rPr>
          <w:rFonts w:ascii="Century Schoolbook" w:hAnsi="Century Schoolbook"/>
          <w:kern w:val="0"/>
          <w:sz w:val="22"/>
          <w:szCs w:val="22"/>
        </w:rPr>
        <w:t xml:space="preserve"> centers, unstable </w:t>
      </w:r>
      <w:proofErr w:type="spellStart"/>
      <w:r w:rsidRPr="00C9399A">
        <w:rPr>
          <w:rFonts w:ascii="Century Schoolbook" w:hAnsi="Century Schoolbook"/>
          <w:kern w:val="0"/>
          <w:sz w:val="22"/>
          <w:szCs w:val="22"/>
        </w:rPr>
        <w:t>epoxides</w:t>
      </w:r>
      <w:proofErr w:type="spellEnd"/>
      <w:r w:rsidRPr="00C9399A">
        <w:rPr>
          <w:rFonts w:ascii="Century Schoolbook" w:hAnsi="Century Schoolbook"/>
          <w:kern w:val="0"/>
          <w:sz w:val="22"/>
          <w:szCs w:val="22"/>
        </w:rPr>
        <w:t xml:space="preserve">, aromatic amines, </w:t>
      </w:r>
      <w:proofErr w:type="spellStart"/>
      <w:r w:rsidRPr="00C9399A">
        <w:rPr>
          <w:rFonts w:ascii="Century Schoolbook" w:hAnsi="Century Schoolbook"/>
          <w:kern w:val="0"/>
          <w:sz w:val="22"/>
          <w:szCs w:val="22"/>
        </w:rPr>
        <w:t>azo</w:t>
      </w:r>
      <w:proofErr w:type="spellEnd"/>
      <w:r w:rsidRPr="00C9399A">
        <w:rPr>
          <w:rFonts w:ascii="Century Schoolbook" w:hAnsi="Century Schoolbook"/>
          <w:kern w:val="0"/>
          <w:sz w:val="22"/>
          <w:szCs w:val="22"/>
        </w:rPr>
        <w:t xml:space="preserve">-structures, </w:t>
      </w:r>
      <w:r w:rsidRPr="00C9399A">
        <w:rPr>
          <w:rFonts w:ascii="Century Schoolbook" w:hAnsi="Century Schoolbook"/>
          <w:i/>
          <w:iCs/>
          <w:kern w:val="0"/>
          <w:sz w:val="22"/>
          <w:szCs w:val="22"/>
        </w:rPr>
        <w:t>N</w:t>
      </w:r>
      <w:r w:rsidRPr="00C9399A">
        <w:rPr>
          <w:rFonts w:ascii="Century Schoolbook" w:hAnsi="Century Schoolbook"/>
          <w:kern w:val="0"/>
          <w:sz w:val="22"/>
          <w:szCs w:val="22"/>
        </w:rPr>
        <w:t>-</w:t>
      </w:r>
      <w:proofErr w:type="spellStart"/>
      <w:r w:rsidRPr="00C9399A">
        <w:rPr>
          <w:rFonts w:ascii="Century Schoolbook" w:hAnsi="Century Schoolbook"/>
          <w:kern w:val="0"/>
          <w:sz w:val="22"/>
          <w:szCs w:val="22"/>
        </w:rPr>
        <w:t>nitroso</w:t>
      </w:r>
      <w:proofErr w:type="spellEnd"/>
      <w:r w:rsidRPr="00C9399A">
        <w:rPr>
          <w:rFonts w:ascii="Century Schoolbook" w:hAnsi="Century Schoolbook"/>
          <w:kern w:val="0"/>
          <w:sz w:val="22"/>
          <w:szCs w:val="22"/>
        </w:rPr>
        <w:t xml:space="preserve"> groups, and aromatic nitro-groups (Ashby and Paton</w:t>
      </w:r>
      <w:r w:rsidR="00EE63D7">
        <w:rPr>
          <w:rFonts w:ascii="Century Schoolbook" w:hAnsi="Century Schoolbook"/>
          <w:kern w:val="0"/>
          <w:sz w:val="22"/>
          <w:szCs w:val="22"/>
        </w:rPr>
        <w:t>,</w:t>
      </w:r>
      <w:r w:rsidRPr="00C9399A">
        <w:rPr>
          <w:rFonts w:ascii="Century Schoolbook" w:hAnsi="Century Schoolbook"/>
          <w:kern w:val="0"/>
          <w:sz w:val="22"/>
          <w:szCs w:val="22"/>
        </w:rPr>
        <w:t xml:space="preserve"> 1994).  For some classes of compounds with specific structural alerts, it is established that specific protocol modifications/additional tests are important for optimum detection of </w:t>
      </w:r>
      <w:proofErr w:type="spellStart"/>
      <w:r w:rsidRPr="00C9399A">
        <w:rPr>
          <w:rFonts w:ascii="Century Schoolbook" w:hAnsi="Century Schoolbook"/>
          <w:kern w:val="0"/>
          <w:sz w:val="22"/>
          <w:szCs w:val="22"/>
        </w:rPr>
        <w:t>genotoxicity</w:t>
      </w:r>
      <w:proofErr w:type="spellEnd"/>
      <w:r w:rsidRPr="00C9399A">
        <w:rPr>
          <w:rFonts w:ascii="Century Schoolbook" w:hAnsi="Century Schoolbook"/>
          <w:kern w:val="0"/>
          <w:sz w:val="22"/>
          <w:szCs w:val="22"/>
        </w:rPr>
        <w:t xml:space="preserve"> (e.g., molecules containing an </w:t>
      </w:r>
      <w:proofErr w:type="spellStart"/>
      <w:r w:rsidRPr="00C9399A">
        <w:rPr>
          <w:rFonts w:ascii="Century Schoolbook" w:hAnsi="Century Schoolbook"/>
          <w:kern w:val="0"/>
          <w:sz w:val="22"/>
          <w:szCs w:val="22"/>
        </w:rPr>
        <w:t>azo</w:t>
      </w:r>
      <w:proofErr w:type="spellEnd"/>
      <w:r w:rsidRPr="00C9399A">
        <w:rPr>
          <w:rFonts w:ascii="Century Schoolbook" w:hAnsi="Century Schoolbook"/>
          <w:kern w:val="0"/>
          <w:sz w:val="22"/>
          <w:szCs w:val="22"/>
        </w:rPr>
        <w:t xml:space="preserve">-group, glycosides, compounds such as </w:t>
      </w:r>
      <w:proofErr w:type="spellStart"/>
      <w:r w:rsidRPr="00C9399A">
        <w:rPr>
          <w:rFonts w:ascii="Century Schoolbook" w:hAnsi="Century Schoolbook"/>
          <w:kern w:val="0"/>
          <w:sz w:val="22"/>
          <w:szCs w:val="22"/>
        </w:rPr>
        <w:t>nitroimidazoles</w:t>
      </w:r>
      <w:proofErr w:type="spellEnd"/>
      <w:r w:rsidRPr="00C9399A">
        <w:rPr>
          <w:rFonts w:ascii="Century Schoolbook" w:hAnsi="Century Schoolbook"/>
          <w:kern w:val="0"/>
          <w:sz w:val="22"/>
          <w:szCs w:val="22"/>
        </w:rPr>
        <w:t xml:space="preserve"> requiring </w:t>
      </w:r>
      <w:proofErr w:type="spellStart"/>
      <w:r w:rsidRPr="00C9399A">
        <w:rPr>
          <w:rFonts w:ascii="Century Schoolbook" w:hAnsi="Century Schoolbook"/>
          <w:kern w:val="0"/>
          <w:sz w:val="22"/>
          <w:szCs w:val="22"/>
        </w:rPr>
        <w:t>nitroreduction</w:t>
      </w:r>
      <w:proofErr w:type="spellEnd"/>
      <w:r w:rsidRPr="00C9399A">
        <w:rPr>
          <w:rFonts w:ascii="Century Schoolbook" w:hAnsi="Century Schoolbook"/>
          <w:kern w:val="0"/>
          <w:sz w:val="22"/>
          <w:szCs w:val="22"/>
        </w:rPr>
        <w:t xml:space="preserve"> for activation, </w:t>
      </w:r>
      <w:r w:rsidRPr="00C9399A">
        <w:rPr>
          <w:rFonts w:ascii="Century Schoolbook" w:hAnsi="Century Schoolbook"/>
          <w:kern w:val="0"/>
          <w:sz w:val="22"/>
          <w:szCs w:val="22"/>
        </w:rPr>
        <w:lastRenderedPageBreak/>
        <w:t xml:space="preserve">compounds such as </w:t>
      </w:r>
      <w:proofErr w:type="spellStart"/>
      <w:r w:rsidRPr="00C9399A">
        <w:rPr>
          <w:rFonts w:ascii="Century Schoolbook" w:hAnsi="Century Schoolbook"/>
          <w:kern w:val="0"/>
          <w:sz w:val="22"/>
          <w:szCs w:val="22"/>
        </w:rPr>
        <w:t>phenacetin</w:t>
      </w:r>
      <w:proofErr w:type="spellEnd"/>
      <w:r w:rsidRPr="00C9399A">
        <w:rPr>
          <w:rFonts w:ascii="Century Schoolbook" w:hAnsi="Century Schoolbook"/>
          <w:kern w:val="0"/>
          <w:sz w:val="22"/>
          <w:szCs w:val="22"/>
        </w:rPr>
        <w:t xml:space="preserve"> requiring a different rodent S9 for metabolic activation).</w:t>
      </w:r>
    </w:p>
    <w:p w:rsidR="001D26BE" w:rsidRPr="00C9399A" w:rsidRDefault="001D26BE" w:rsidP="004235DD">
      <w:pPr>
        <w:autoSpaceDE w:val="0"/>
        <w:autoSpaceDN w:val="0"/>
        <w:adjustRightInd w:val="0"/>
        <w:spacing w:after="120"/>
        <w:ind w:left="360" w:hanging="360"/>
        <w:textAlignment w:val="bottom"/>
        <w:rPr>
          <w:rFonts w:ascii="Century Schoolbook" w:hAnsi="Century Schoolbook"/>
          <w:kern w:val="0"/>
          <w:sz w:val="22"/>
          <w:szCs w:val="22"/>
        </w:rPr>
      </w:pPr>
      <w:r w:rsidRPr="00C9399A">
        <w:rPr>
          <w:rFonts w:ascii="Century Schoolbook" w:hAnsi="Century Schoolbook"/>
          <w:kern w:val="0"/>
          <w:sz w:val="22"/>
          <w:szCs w:val="22"/>
        </w:rPr>
        <w:t>6.</w:t>
      </w:r>
      <w:r w:rsidRPr="00C9399A">
        <w:rPr>
          <w:rFonts w:ascii="Century Schoolbook" w:hAnsi="Century Schoolbook"/>
          <w:kern w:val="0"/>
          <w:sz w:val="22"/>
          <w:szCs w:val="22"/>
        </w:rPr>
        <w:tab/>
        <w:t xml:space="preserve">There is some experience with </w:t>
      </w:r>
      <w:r w:rsidRPr="00C9399A">
        <w:rPr>
          <w:rFonts w:ascii="Century Schoolbook" w:hAnsi="Century Schoolbook"/>
          <w:i/>
          <w:kern w:val="0"/>
          <w:sz w:val="22"/>
          <w:szCs w:val="22"/>
        </w:rPr>
        <w:t>in vivo</w:t>
      </w:r>
      <w:r w:rsidRPr="00C9399A">
        <w:rPr>
          <w:rFonts w:ascii="Century Schoolbook" w:hAnsi="Century Schoolbook"/>
          <w:kern w:val="0"/>
          <w:sz w:val="22"/>
          <w:szCs w:val="22"/>
        </w:rPr>
        <w:t xml:space="preserve"> assays for micronucleus induction in skin and colon (Hayashi et al., 2007), and DNA damage assays in these tissues can also be an appropriate substitute.</w:t>
      </w:r>
    </w:p>
    <w:p w:rsidR="001D26BE" w:rsidRPr="00C9399A" w:rsidRDefault="001D26BE" w:rsidP="004235DD">
      <w:pPr>
        <w:autoSpaceDE w:val="0"/>
        <w:autoSpaceDN w:val="0"/>
        <w:adjustRightInd w:val="0"/>
        <w:spacing w:after="120"/>
        <w:ind w:left="360" w:hanging="360"/>
        <w:textAlignment w:val="bottom"/>
        <w:rPr>
          <w:rFonts w:ascii="Century Schoolbook" w:hAnsi="Century Schoolbook"/>
          <w:kern w:val="0"/>
          <w:sz w:val="22"/>
          <w:szCs w:val="22"/>
        </w:rPr>
      </w:pPr>
      <w:r w:rsidRPr="00C9399A">
        <w:rPr>
          <w:rFonts w:ascii="Century Schoolbook" w:hAnsi="Century Schoolbook"/>
          <w:kern w:val="0"/>
          <w:sz w:val="22"/>
          <w:szCs w:val="22"/>
        </w:rPr>
        <w:t>7.</w:t>
      </w:r>
      <w:r w:rsidRPr="00C9399A">
        <w:rPr>
          <w:rFonts w:ascii="Century Schoolbook" w:hAnsi="Century Schoolbook"/>
          <w:kern w:val="0"/>
          <w:sz w:val="22"/>
          <w:szCs w:val="22"/>
        </w:rPr>
        <w:tab/>
        <w:t xml:space="preserve">A few chemicals are more easily detectable either with plate-incorporation or with pre-incubation methods, though differences are typically quantitative rather than qualitative (Gatehouse et al., 1994).  Experience in the pharmaceutical industry where drugs have been tested in both protocols has not resulted in different results for the two methods, and, in the IWGT report (Gatehouse et al., 1994), the examples of chemical classes listed as more easily detectable in the pre-incubation protocol are generally not pharmaceuticals and are positive in </w:t>
      </w:r>
      <w:proofErr w:type="spellStart"/>
      <w:r w:rsidRPr="00C9399A">
        <w:rPr>
          <w:rFonts w:ascii="Century Schoolbook" w:hAnsi="Century Schoolbook"/>
          <w:i/>
          <w:kern w:val="0"/>
          <w:sz w:val="22"/>
          <w:szCs w:val="22"/>
        </w:rPr>
        <w:t>in</w:t>
      </w:r>
      <w:proofErr w:type="spellEnd"/>
      <w:r w:rsidRPr="00C9399A">
        <w:rPr>
          <w:rFonts w:ascii="Century Schoolbook" w:hAnsi="Century Schoolbook"/>
          <w:i/>
          <w:kern w:val="0"/>
          <w:sz w:val="22"/>
          <w:szCs w:val="22"/>
        </w:rPr>
        <w:t xml:space="preserve"> vivo</w:t>
      </w:r>
      <w:r w:rsidRPr="00C9399A">
        <w:rPr>
          <w:rFonts w:ascii="Century Schoolbook" w:hAnsi="Century Schoolbook"/>
          <w:kern w:val="0"/>
          <w:sz w:val="22"/>
          <w:szCs w:val="22"/>
        </w:rPr>
        <w:t xml:space="preserve"> </w:t>
      </w:r>
      <w:proofErr w:type="spellStart"/>
      <w:r w:rsidRPr="00C9399A">
        <w:rPr>
          <w:rFonts w:ascii="Century Schoolbook" w:hAnsi="Century Schoolbook"/>
          <w:kern w:val="0"/>
          <w:sz w:val="22"/>
          <w:szCs w:val="22"/>
        </w:rPr>
        <w:t>genotoxicity</w:t>
      </w:r>
      <w:proofErr w:type="spellEnd"/>
      <w:r w:rsidRPr="00C9399A">
        <w:rPr>
          <w:rFonts w:ascii="Century Schoolbook" w:hAnsi="Century Schoolbook"/>
          <w:kern w:val="0"/>
          <w:sz w:val="22"/>
          <w:szCs w:val="22"/>
        </w:rPr>
        <w:t xml:space="preserve"> tests in liver.  These include short chain aliphatic nitrosamines; divalent metals; </w:t>
      </w:r>
      <w:proofErr w:type="spellStart"/>
      <w:r w:rsidRPr="00C9399A">
        <w:rPr>
          <w:rFonts w:ascii="Century Schoolbook" w:hAnsi="Century Schoolbook"/>
          <w:kern w:val="0"/>
          <w:sz w:val="22"/>
          <w:szCs w:val="22"/>
        </w:rPr>
        <w:t>aldehydes</w:t>
      </w:r>
      <w:proofErr w:type="spellEnd"/>
      <w:r w:rsidRPr="00C9399A">
        <w:rPr>
          <w:rFonts w:ascii="Century Schoolbook" w:hAnsi="Century Schoolbook"/>
          <w:kern w:val="0"/>
          <w:sz w:val="22"/>
          <w:szCs w:val="22"/>
        </w:rPr>
        <w:t xml:space="preserve"> (e.g., formaldehyde, </w:t>
      </w:r>
      <w:proofErr w:type="spellStart"/>
      <w:r w:rsidRPr="00C9399A">
        <w:rPr>
          <w:rFonts w:ascii="Century Schoolbook" w:hAnsi="Century Schoolbook"/>
          <w:kern w:val="0"/>
          <w:sz w:val="22"/>
          <w:szCs w:val="22"/>
        </w:rPr>
        <w:t>crotonaldehyde</w:t>
      </w:r>
      <w:proofErr w:type="spellEnd"/>
      <w:r w:rsidRPr="00C9399A">
        <w:rPr>
          <w:rFonts w:ascii="Century Schoolbook" w:hAnsi="Century Schoolbook"/>
          <w:kern w:val="0"/>
          <w:sz w:val="22"/>
          <w:szCs w:val="22"/>
        </w:rPr>
        <w:t xml:space="preserve">); </w:t>
      </w:r>
      <w:proofErr w:type="spellStart"/>
      <w:r w:rsidRPr="00C9399A">
        <w:rPr>
          <w:rFonts w:ascii="Century Schoolbook" w:hAnsi="Century Schoolbook"/>
          <w:kern w:val="0"/>
          <w:sz w:val="22"/>
          <w:szCs w:val="22"/>
        </w:rPr>
        <w:t>azo</w:t>
      </w:r>
      <w:proofErr w:type="spellEnd"/>
      <w:r w:rsidRPr="00C9399A">
        <w:rPr>
          <w:rFonts w:ascii="Century Schoolbook" w:hAnsi="Century Schoolbook"/>
          <w:kern w:val="0"/>
          <w:sz w:val="22"/>
          <w:szCs w:val="22"/>
        </w:rPr>
        <w:t xml:space="preserve"> dyes (e.g., butter yellow); </w:t>
      </w:r>
      <w:proofErr w:type="spellStart"/>
      <w:r w:rsidRPr="00C9399A">
        <w:rPr>
          <w:rFonts w:ascii="Century Schoolbook" w:hAnsi="Century Schoolbook"/>
          <w:kern w:val="0"/>
          <w:sz w:val="22"/>
          <w:szCs w:val="22"/>
        </w:rPr>
        <w:t>pyrrolizidine</w:t>
      </w:r>
      <w:proofErr w:type="spellEnd"/>
      <w:r w:rsidRPr="00C9399A">
        <w:rPr>
          <w:rFonts w:ascii="Century Schoolbook" w:hAnsi="Century Schoolbook"/>
          <w:kern w:val="0"/>
          <w:sz w:val="22"/>
          <w:szCs w:val="22"/>
        </w:rPr>
        <w:t xml:space="preserve"> alkaloids; </w:t>
      </w:r>
      <w:proofErr w:type="spellStart"/>
      <w:r w:rsidRPr="00C9399A">
        <w:rPr>
          <w:rFonts w:ascii="Century Schoolbook" w:hAnsi="Century Schoolbook"/>
          <w:kern w:val="0"/>
          <w:sz w:val="22"/>
          <w:szCs w:val="22"/>
        </w:rPr>
        <w:t>allyl</w:t>
      </w:r>
      <w:proofErr w:type="spellEnd"/>
      <w:r w:rsidRPr="00C9399A">
        <w:rPr>
          <w:rFonts w:ascii="Century Schoolbook" w:hAnsi="Century Schoolbook"/>
          <w:kern w:val="0"/>
          <w:sz w:val="22"/>
          <w:szCs w:val="22"/>
        </w:rPr>
        <w:t xml:space="preserve"> compounds (</w:t>
      </w:r>
      <w:proofErr w:type="spellStart"/>
      <w:r w:rsidRPr="00C9399A">
        <w:rPr>
          <w:rFonts w:ascii="Century Schoolbook" w:hAnsi="Century Schoolbook"/>
          <w:kern w:val="0"/>
          <w:sz w:val="22"/>
          <w:szCs w:val="22"/>
        </w:rPr>
        <w:t>allylisothiocyanate</w:t>
      </w:r>
      <w:proofErr w:type="spellEnd"/>
      <w:r w:rsidRPr="00C9399A">
        <w:rPr>
          <w:rFonts w:ascii="Century Schoolbook" w:hAnsi="Century Schoolbook"/>
          <w:kern w:val="0"/>
          <w:sz w:val="22"/>
          <w:szCs w:val="22"/>
        </w:rPr>
        <w:t xml:space="preserve">, </w:t>
      </w:r>
      <w:proofErr w:type="spellStart"/>
      <w:r w:rsidRPr="00C9399A">
        <w:rPr>
          <w:rFonts w:ascii="Century Schoolbook" w:hAnsi="Century Schoolbook"/>
          <w:kern w:val="0"/>
          <w:sz w:val="22"/>
          <w:szCs w:val="22"/>
        </w:rPr>
        <w:t>allyl</w:t>
      </w:r>
      <w:proofErr w:type="spellEnd"/>
      <w:r w:rsidRPr="00C9399A">
        <w:rPr>
          <w:rFonts w:ascii="Century Schoolbook" w:hAnsi="Century Schoolbook"/>
          <w:kern w:val="0"/>
          <w:sz w:val="22"/>
          <w:szCs w:val="22"/>
        </w:rPr>
        <w:t xml:space="preserve"> chloride), and nitro (aromatic, aliphatic) compounds.</w:t>
      </w:r>
    </w:p>
    <w:p w:rsidR="001D26BE" w:rsidRPr="00C9399A" w:rsidRDefault="001D26BE" w:rsidP="004235DD">
      <w:pPr>
        <w:autoSpaceDE w:val="0"/>
        <w:autoSpaceDN w:val="0"/>
        <w:adjustRightInd w:val="0"/>
        <w:spacing w:after="120"/>
        <w:ind w:left="360" w:hanging="360"/>
        <w:textAlignment w:val="bottom"/>
        <w:rPr>
          <w:rFonts w:ascii="Century Schoolbook" w:hAnsi="Century Schoolbook"/>
          <w:kern w:val="0"/>
          <w:sz w:val="22"/>
          <w:szCs w:val="22"/>
        </w:rPr>
      </w:pPr>
      <w:r w:rsidRPr="00C9399A">
        <w:rPr>
          <w:rFonts w:ascii="Century Schoolbook" w:hAnsi="Century Schoolbook"/>
          <w:kern w:val="0"/>
          <w:sz w:val="22"/>
          <w:szCs w:val="22"/>
        </w:rPr>
        <w:t>8.</w:t>
      </w:r>
      <w:r w:rsidRPr="00C9399A">
        <w:rPr>
          <w:rFonts w:ascii="Century Schoolbook" w:hAnsi="Century Schoolbook"/>
          <w:kern w:val="0"/>
          <w:sz w:val="22"/>
          <w:szCs w:val="22"/>
        </w:rPr>
        <w:tab/>
        <w:t xml:space="preserve">The rationale for a maximum concentration of 1 </w:t>
      </w:r>
      <w:proofErr w:type="spellStart"/>
      <w:r w:rsidRPr="00C9399A">
        <w:rPr>
          <w:rFonts w:ascii="Century Schoolbook" w:hAnsi="Century Schoolbook"/>
          <w:kern w:val="0"/>
          <w:sz w:val="22"/>
          <w:szCs w:val="22"/>
        </w:rPr>
        <w:t>mM</w:t>
      </w:r>
      <w:proofErr w:type="spellEnd"/>
      <w:r w:rsidRPr="00C9399A">
        <w:rPr>
          <w:rFonts w:ascii="Century Schoolbook" w:hAnsi="Century Schoolbook"/>
          <w:kern w:val="0"/>
          <w:sz w:val="22"/>
          <w:szCs w:val="22"/>
        </w:rPr>
        <w:t xml:space="preserve"> for </w:t>
      </w:r>
      <w:r w:rsidRPr="00C9399A">
        <w:rPr>
          <w:rFonts w:ascii="Century Schoolbook" w:hAnsi="Century Schoolbook"/>
          <w:i/>
          <w:kern w:val="0"/>
          <w:sz w:val="22"/>
          <w:szCs w:val="22"/>
        </w:rPr>
        <w:t>in vitro</w:t>
      </w:r>
      <w:r w:rsidRPr="00C9399A">
        <w:rPr>
          <w:rFonts w:ascii="Century Schoolbook" w:hAnsi="Century Schoolbook"/>
          <w:kern w:val="0"/>
          <w:sz w:val="22"/>
          <w:szCs w:val="22"/>
        </w:rPr>
        <w:t xml:space="preserve"> mammalian cell assays includes the following:  The test battery includes the Ames test and an </w:t>
      </w:r>
      <w:r w:rsidRPr="00C9399A">
        <w:rPr>
          <w:rFonts w:ascii="Century Schoolbook" w:hAnsi="Century Schoolbook"/>
          <w:i/>
          <w:kern w:val="0"/>
          <w:sz w:val="22"/>
          <w:szCs w:val="22"/>
        </w:rPr>
        <w:t>in vivo</w:t>
      </w:r>
      <w:r w:rsidRPr="00C9399A">
        <w:rPr>
          <w:rFonts w:ascii="Century Schoolbook" w:hAnsi="Century Schoolbook"/>
          <w:kern w:val="0"/>
          <w:sz w:val="22"/>
          <w:szCs w:val="22"/>
        </w:rPr>
        <w:t xml:space="preserve"> assay.  This battery optimizes the detection of </w:t>
      </w:r>
      <w:proofErr w:type="spellStart"/>
      <w:r w:rsidRPr="00C9399A">
        <w:rPr>
          <w:rFonts w:ascii="Century Schoolbook" w:hAnsi="Century Schoolbook"/>
          <w:kern w:val="0"/>
          <w:sz w:val="22"/>
          <w:szCs w:val="22"/>
        </w:rPr>
        <w:t>genotoxic</w:t>
      </w:r>
      <w:proofErr w:type="spellEnd"/>
      <w:r w:rsidRPr="00C9399A">
        <w:rPr>
          <w:rFonts w:ascii="Century Schoolbook" w:hAnsi="Century Schoolbook"/>
          <w:kern w:val="0"/>
          <w:sz w:val="22"/>
          <w:szCs w:val="22"/>
        </w:rPr>
        <w:t xml:space="preserve"> carcinogens without relying </w:t>
      </w:r>
      <w:r w:rsidR="002A5938">
        <w:rPr>
          <w:rFonts w:ascii="Century Schoolbook" w:hAnsi="Century Schoolbook"/>
          <w:kern w:val="0"/>
          <w:sz w:val="22"/>
          <w:szCs w:val="22"/>
        </w:rPr>
        <w:t xml:space="preserve">on any individual assay alone. </w:t>
      </w:r>
      <w:r w:rsidRPr="00C9399A">
        <w:rPr>
          <w:rFonts w:ascii="Century Schoolbook" w:hAnsi="Century Schoolbook"/>
          <w:kern w:val="0"/>
          <w:sz w:val="22"/>
          <w:szCs w:val="22"/>
        </w:rPr>
        <w:t xml:space="preserve"> There is a very low likelihood of compounds of concern (DNA damaging carcinogens) that are not detected in Ames test or </w:t>
      </w:r>
      <w:r w:rsidRPr="00C9399A">
        <w:rPr>
          <w:rFonts w:ascii="Century Schoolbook" w:hAnsi="Century Schoolbook"/>
          <w:i/>
          <w:kern w:val="0"/>
          <w:sz w:val="22"/>
          <w:szCs w:val="22"/>
        </w:rPr>
        <w:t>in vivo</w:t>
      </w:r>
      <w:r w:rsidRPr="00C9399A">
        <w:rPr>
          <w:rFonts w:ascii="Century Schoolbook" w:hAnsi="Century Schoolbook"/>
          <w:kern w:val="0"/>
          <w:sz w:val="22"/>
          <w:szCs w:val="22"/>
        </w:rPr>
        <w:t xml:space="preserve"> </w:t>
      </w:r>
      <w:proofErr w:type="spellStart"/>
      <w:r w:rsidRPr="00C9399A">
        <w:rPr>
          <w:rFonts w:ascii="Century Schoolbook" w:hAnsi="Century Schoolbook"/>
          <w:kern w:val="0"/>
          <w:sz w:val="22"/>
          <w:szCs w:val="22"/>
        </w:rPr>
        <w:t>genotoxicity</w:t>
      </w:r>
      <w:proofErr w:type="spellEnd"/>
      <w:r w:rsidRPr="00C9399A">
        <w:rPr>
          <w:rFonts w:ascii="Century Schoolbook" w:hAnsi="Century Schoolbook"/>
          <w:kern w:val="0"/>
          <w:sz w:val="22"/>
          <w:szCs w:val="22"/>
        </w:rPr>
        <w:t xml:space="preserve"> assay, but are detectable in an </w:t>
      </w:r>
      <w:r w:rsidRPr="00C9399A">
        <w:rPr>
          <w:rFonts w:ascii="Century Schoolbook" w:hAnsi="Century Schoolbook"/>
          <w:i/>
          <w:kern w:val="0"/>
          <w:sz w:val="22"/>
          <w:szCs w:val="22"/>
        </w:rPr>
        <w:t>in vitro</w:t>
      </w:r>
      <w:r w:rsidRPr="00C9399A">
        <w:rPr>
          <w:rFonts w:ascii="Century Schoolbook" w:hAnsi="Century Schoolbook"/>
          <w:kern w:val="0"/>
          <w:sz w:val="22"/>
          <w:szCs w:val="22"/>
        </w:rPr>
        <w:t xml:space="preserve"> mammalian assay only above 1 </w:t>
      </w:r>
      <w:proofErr w:type="spellStart"/>
      <w:r w:rsidRPr="00C9399A">
        <w:rPr>
          <w:rFonts w:ascii="Century Schoolbook" w:hAnsi="Century Schoolbook"/>
          <w:kern w:val="0"/>
          <w:sz w:val="22"/>
          <w:szCs w:val="22"/>
        </w:rPr>
        <w:t>mM</w:t>
      </w:r>
      <w:proofErr w:type="spellEnd"/>
      <w:r w:rsidRPr="00C9399A">
        <w:rPr>
          <w:rFonts w:ascii="Century Schoolbook" w:hAnsi="Century Schoolbook"/>
          <w:kern w:val="0"/>
          <w:sz w:val="22"/>
          <w:szCs w:val="22"/>
        </w:rPr>
        <w:t xml:space="preserve">.  Second, a limit of 1 </w:t>
      </w:r>
      <w:proofErr w:type="spellStart"/>
      <w:r w:rsidRPr="00C9399A">
        <w:rPr>
          <w:rFonts w:ascii="Century Schoolbook" w:hAnsi="Century Schoolbook"/>
          <w:kern w:val="0"/>
          <w:sz w:val="22"/>
          <w:szCs w:val="22"/>
        </w:rPr>
        <w:t>mM</w:t>
      </w:r>
      <w:proofErr w:type="spellEnd"/>
      <w:r w:rsidRPr="00C9399A">
        <w:rPr>
          <w:rFonts w:ascii="Century Schoolbook" w:hAnsi="Century Schoolbook"/>
          <w:kern w:val="0"/>
          <w:sz w:val="22"/>
          <w:szCs w:val="22"/>
        </w:rPr>
        <w:t xml:space="preserve"> maintains the element of hazard identification, being higher than clinical exposures to known pharmaceuticals, including those that concentrate in tissues (Goodman &amp; Gilman, 2001), and is also higher than the levels generally achievable in preclinical studies </w:t>
      </w:r>
      <w:r w:rsidRPr="00C9399A">
        <w:rPr>
          <w:rFonts w:ascii="Century Schoolbook" w:hAnsi="Century Schoolbook"/>
          <w:i/>
          <w:kern w:val="0"/>
          <w:sz w:val="22"/>
          <w:szCs w:val="22"/>
        </w:rPr>
        <w:t>in vivo</w:t>
      </w:r>
      <w:r w:rsidRPr="00C9399A">
        <w:rPr>
          <w:rFonts w:ascii="Century Schoolbook" w:hAnsi="Century Schoolbook"/>
          <w:kern w:val="0"/>
          <w:sz w:val="22"/>
          <w:szCs w:val="22"/>
        </w:rPr>
        <w:t xml:space="preserve">.  Certain drugs are known to require quite high clinical exposures for therapeutic effect, e.g., nucleoside analogs and some antibiotics.  While comparison of potency with existing drugs can be of interest to sponsors, perhaps even above the 1 </w:t>
      </w:r>
      <w:proofErr w:type="spellStart"/>
      <w:r w:rsidRPr="00C9399A">
        <w:rPr>
          <w:rFonts w:ascii="Century Schoolbook" w:hAnsi="Century Schoolbook"/>
          <w:kern w:val="0"/>
          <w:sz w:val="22"/>
          <w:szCs w:val="22"/>
        </w:rPr>
        <w:t>mM</w:t>
      </w:r>
      <w:proofErr w:type="spellEnd"/>
      <w:r w:rsidRPr="00C9399A">
        <w:rPr>
          <w:rFonts w:ascii="Century Schoolbook" w:hAnsi="Century Schoolbook"/>
          <w:kern w:val="0"/>
          <w:sz w:val="22"/>
          <w:szCs w:val="22"/>
        </w:rPr>
        <w:t xml:space="preserve"> limit, it is ultimately the </w:t>
      </w:r>
      <w:r w:rsidRPr="00C9399A">
        <w:rPr>
          <w:rFonts w:ascii="Century Schoolbook" w:hAnsi="Century Schoolbook"/>
          <w:i/>
          <w:kern w:val="0"/>
          <w:sz w:val="22"/>
          <w:szCs w:val="22"/>
        </w:rPr>
        <w:t>in vivo</w:t>
      </w:r>
      <w:r w:rsidRPr="00C9399A">
        <w:rPr>
          <w:rFonts w:ascii="Century Schoolbook" w:hAnsi="Century Schoolbook"/>
          <w:kern w:val="0"/>
          <w:sz w:val="22"/>
          <w:szCs w:val="22"/>
        </w:rPr>
        <w:t xml:space="preserve"> tests that determine relevance for human safety.  For pharmaceuticals with unusually low molecular weight (e.g., less than 200) higher test concentrations should be considered. </w:t>
      </w:r>
    </w:p>
    <w:p w:rsidR="001D26BE" w:rsidRPr="00C9399A" w:rsidRDefault="001D26BE" w:rsidP="004235DD">
      <w:pPr>
        <w:autoSpaceDE w:val="0"/>
        <w:autoSpaceDN w:val="0"/>
        <w:adjustRightInd w:val="0"/>
        <w:spacing w:after="120"/>
        <w:ind w:left="360" w:hanging="360"/>
        <w:textAlignment w:val="bottom"/>
        <w:rPr>
          <w:rFonts w:ascii="Century Schoolbook" w:hAnsi="Century Schoolbook"/>
          <w:kern w:val="0"/>
          <w:sz w:val="22"/>
          <w:szCs w:val="22"/>
        </w:rPr>
      </w:pPr>
      <w:r w:rsidRPr="00C9399A">
        <w:rPr>
          <w:rFonts w:ascii="Century Schoolbook" w:hAnsi="Century Schoolbook"/>
          <w:kern w:val="0"/>
          <w:sz w:val="22"/>
          <w:szCs w:val="22"/>
        </w:rPr>
        <w:t>9.</w:t>
      </w:r>
      <w:r w:rsidRPr="00C9399A">
        <w:rPr>
          <w:rFonts w:ascii="Century Schoolbook" w:hAnsi="Century Schoolbook"/>
          <w:kern w:val="0"/>
          <w:sz w:val="22"/>
          <w:szCs w:val="22"/>
        </w:rPr>
        <w:tab/>
        <w:t xml:space="preserve">Although some </w:t>
      </w:r>
      <w:proofErr w:type="spellStart"/>
      <w:r w:rsidRPr="00C9399A">
        <w:rPr>
          <w:rFonts w:ascii="Century Schoolbook" w:hAnsi="Century Schoolbook"/>
          <w:kern w:val="0"/>
          <w:sz w:val="22"/>
          <w:szCs w:val="22"/>
        </w:rPr>
        <w:t>genotoxic</w:t>
      </w:r>
      <w:proofErr w:type="spellEnd"/>
      <w:r w:rsidRPr="00C9399A">
        <w:rPr>
          <w:rFonts w:ascii="Century Schoolbook" w:hAnsi="Century Schoolbook"/>
          <w:kern w:val="0"/>
          <w:sz w:val="22"/>
          <w:szCs w:val="22"/>
        </w:rPr>
        <w:t xml:space="preserve"> carcinogens are not detectable in </w:t>
      </w:r>
      <w:proofErr w:type="spellStart"/>
      <w:r w:rsidRPr="00C9399A">
        <w:rPr>
          <w:rFonts w:ascii="Century Schoolbook" w:hAnsi="Century Schoolbook"/>
          <w:i/>
          <w:iCs/>
          <w:kern w:val="0"/>
          <w:sz w:val="22"/>
          <w:szCs w:val="22"/>
        </w:rPr>
        <w:t>in</w:t>
      </w:r>
      <w:proofErr w:type="spellEnd"/>
      <w:r w:rsidRPr="00C9399A">
        <w:rPr>
          <w:rFonts w:ascii="Century Schoolbook" w:hAnsi="Century Schoolbook"/>
          <w:i/>
          <w:iCs/>
          <w:kern w:val="0"/>
          <w:sz w:val="22"/>
          <w:szCs w:val="22"/>
        </w:rPr>
        <w:t xml:space="preserve"> vitro </w:t>
      </w:r>
      <w:proofErr w:type="spellStart"/>
      <w:r w:rsidRPr="00C9399A">
        <w:rPr>
          <w:rFonts w:ascii="Century Schoolbook" w:hAnsi="Century Schoolbook"/>
          <w:kern w:val="0"/>
          <w:sz w:val="22"/>
          <w:szCs w:val="22"/>
        </w:rPr>
        <w:t>genotoxicity</w:t>
      </w:r>
      <w:proofErr w:type="spellEnd"/>
      <w:r w:rsidRPr="00C9399A">
        <w:rPr>
          <w:rFonts w:ascii="Century Schoolbook" w:hAnsi="Century Schoolbook"/>
          <w:kern w:val="0"/>
          <w:sz w:val="22"/>
          <w:szCs w:val="22"/>
        </w:rPr>
        <w:t xml:space="preserve"> assays unless the concentrations tested induce some degree of </w:t>
      </w:r>
      <w:proofErr w:type="spellStart"/>
      <w:r w:rsidRPr="00C9399A">
        <w:rPr>
          <w:rFonts w:ascii="Century Schoolbook" w:hAnsi="Century Schoolbook"/>
          <w:kern w:val="0"/>
          <w:sz w:val="22"/>
          <w:szCs w:val="22"/>
        </w:rPr>
        <w:t>cytotoxicity</w:t>
      </w:r>
      <w:proofErr w:type="spellEnd"/>
      <w:r w:rsidRPr="00C9399A">
        <w:rPr>
          <w:rFonts w:ascii="Century Schoolbook" w:hAnsi="Century Schoolbook"/>
          <w:kern w:val="0"/>
          <w:sz w:val="22"/>
          <w:szCs w:val="22"/>
        </w:rPr>
        <w:t xml:space="preserve">, DNA damaging agents are generally detectable with only moderate levels of toxicity (Greenwood et al., 2004).  As </w:t>
      </w:r>
      <w:proofErr w:type="spellStart"/>
      <w:r w:rsidRPr="00C9399A">
        <w:rPr>
          <w:rFonts w:ascii="Century Schoolbook" w:hAnsi="Century Schoolbook"/>
          <w:kern w:val="0"/>
          <w:sz w:val="22"/>
          <w:szCs w:val="22"/>
        </w:rPr>
        <w:t>cytotoxicity</w:t>
      </w:r>
      <w:proofErr w:type="spellEnd"/>
      <w:r w:rsidRPr="00C9399A">
        <w:rPr>
          <w:rFonts w:ascii="Century Schoolbook" w:hAnsi="Century Schoolbook"/>
          <w:kern w:val="0"/>
          <w:sz w:val="22"/>
          <w:szCs w:val="22"/>
        </w:rPr>
        <w:t xml:space="preserve"> increases, mechanisms other than direct DNA damage by a compound or its metabolites</w:t>
      </w:r>
      <w:r w:rsidRPr="00C9399A">
        <w:rPr>
          <w:rFonts w:ascii="Century Schoolbook" w:hAnsi="Century Schoolbook"/>
          <w:i/>
          <w:iCs/>
          <w:kern w:val="0"/>
          <w:sz w:val="22"/>
          <w:szCs w:val="22"/>
        </w:rPr>
        <w:t xml:space="preserve"> </w:t>
      </w:r>
      <w:r w:rsidRPr="00C9399A">
        <w:rPr>
          <w:rFonts w:ascii="Century Schoolbook" w:hAnsi="Century Schoolbook"/>
          <w:kern w:val="0"/>
          <w:sz w:val="22"/>
          <w:szCs w:val="22"/>
        </w:rPr>
        <w:t xml:space="preserve">can lead to ‘positive’ results that are related to </w:t>
      </w:r>
      <w:proofErr w:type="spellStart"/>
      <w:r w:rsidRPr="00C9399A">
        <w:rPr>
          <w:rFonts w:ascii="Century Schoolbook" w:hAnsi="Century Schoolbook"/>
          <w:kern w:val="0"/>
          <w:sz w:val="22"/>
          <w:szCs w:val="22"/>
        </w:rPr>
        <w:t>cytotoxicity</w:t>
      </w:r>
      <w:proofErr w:type="spellEnd"/>
      <w:r w:rsidRPr="00C9399A">
        <w:rPr>
          <w:rFonts w:ascii="Century Schoolbook" w:hAnsi="Century Schoolbook"/>
          <w:kern w:val="0"/>
          <w:sz w:val="22"/>
          <w:szCs w:val="22"/>
        </w:rPr>
        <w:t xml:space="preserve"> and not </w:t>
      </w:r>
      <w:proofErr w:type="spellStart"/>
      <w:r w:rsidRPr="00C9399A">
        <w:rPr>
          <w:rFonts w:ascii="Century Schoolbook" w:hAnsi="Century Schoolbook"/>
          <w:kern w:val="0"/>
          <w:sz w:val="22"/>
          <w:szCs w:val="22"/>
        </w:rPr>
        <w:t>genotoxicity</w:t>
      </w:r>
      <w:proofErr w:type="spellEnd"/>
      <w:r w:rsidRPr="00C9399A">
        <w:rPr>
          <w:rFonts w:ascii="Century Schoolbook" w:hAnsi="Century Schoolbook"/>
          <w:kern w:val="0"/>
          <w:sz w:val="22"/>
          <w:szCs w:val="22"/>
        </w:rPr>
        <w:t>.  Such indirect induction of DNA damage secondary to damage to non-DNA targets is more likely to occur above a certain concentration threshold.  The disruption of cellular processes is not expected to occur at lower, pharmacologically relevant concentrations.</w:t>
      </w:r>
    </w:p>
    <w:p w:rsidR="001D26BE" w:rsidRPr="00C9399A" w:rsidRDefault="001D26BE" w:rsidP="004235DD">
      <w:pPr>
        <w:autoSpaceDE w:val="0"/>
        <w:autoSpaceDN w:val="0"/>
        <w:adjustRightInd w:val="0"/>
        <w:spacing w:after="120"/>
        <w:ind w:left="360"/>
        <w:textAlignment w:val="bottom"/>
        <w:rPr>
          <w:rFonts w:ascii="Century Schoolbook" w:hAnsi="Century Schoolbook"/>
          <w:kern w:val="0"/>
          <w:sz w:val="22"/>
          <w:szCs w:val="22"/>
        </w:rPr>
      </w:pPr>
      <w:r w:rsidRPr="00C9399A">
        <w:rPr>
          <w:rFonts w:ascii="Century Schoolbook" w:hAnsi="Century Schoolbook"/>
          <w:kern w:val="0"/>
          <w:sz w:val="22"/>
          <w:szCs w:val="22"/>
        </w:rPr>
        <w:t xml:space="preserve">In cytogenetic assays, even weak </w:t>
      </w:r>
      <w:proofErr w:type="spellStart"/>
      <w:r w:rsidRPr="00C9399A">
        <w:rPr>
          <w:rFonts w:ascii="Century Schoolbook" w:hAnsi="Century Schoolbook"/>
          <w:kern w:val="0"/>
          <w:sz w:val="22"/>
          <w:szCs w:val="22"/>
        </w:rPr>
        <w:t>clastogens</w:t>
      </w:r>
      <w:proofErr w:type="spellEnd"/>
      <w:r w:rsidRPr="00C9399A">
        <w:rPr>
          <w:rFonts w:ascii="Century Schoolbook" w:hAnsi="Century Schoolbook"/>
          <w:kern w:val="0"/>
          <w:sz w:val="22"/>
          <w:szCs w:val="22"/>
        </w:rPr>
        <w:t xml:space="preserve"> that are known to be carcinogens are positive without exceeding a 50% reduction in cell counts.  On the other hand, compounds that are not DNA damaging, mutagenic or carcinogenic can induce chromosome breakage at toxic concentrations.  For both </w:t>
      </w:r>
      <w:r w:rsidRPr="00C9399A">
        <w:rPr>
          <w:rFonts w:ascii="Century Schoolbook" w:hAnsi="Century Schoolbook"/>
          <w:i/>
          <w:kern w:val="0"/>
          <w:sz w:val="22"/>
          <w:szCs w:val="22"/>
        </w:rPr>
        <w:t xml:space="preserve">in vitro </w:t>
      </w:r>
      <w:r w:rsidRPr="00C9399A">
        <w:rPr>
          <w:rFonts w:ascii="Century Schoolbook" w:hAnsi="Century Schoolbook"/>
          <w:kern w:val="0"/>
          <w:sz w:val="22"/>
          <w:szCs w:val="22"/>
        </w:rPr>
        <w:t xml:space="preserve">cytogenetic assays, the chromosome aberration assay and the </w:t>
      </w:r>
      <w:r w:rsidRPr="00C9399A">
        <w:rPr>
          <w:rFonts w:ascii="Century Schoolbook" w:hAnsi="Century Schoolbook"/>
          <w:i/>
          <w:kern w:val="0"/>
          <w:sz w:val="22"/>
          <w:szCs w:val="22"/>
        </w:rPr>
        <w:t>in vitro</w:t>
      </w:r>
      <w:r w:rsidRPr="00C9399A">
        <w:rPr>
          <w:rFonts w:ascii="Century Schoolbook" w:hAnsi="Century Schoolbook"/>
          <w:kern w:val="0"/>
          <w:sz w:val="22"/>
          <w:szCs w:val="22"/>
        </w:rPr>
        <w:t xml:space="preserve"> micronucleus assay, a limit of about 50% growth reduction is considered appropriate.</w:t>
      </w:r>
    </w:p>
    <w:p w:rsidR="001D26BE" w:rsidRPr="00C9399A" w:rsidRDefault="001D26BE" w:rsidP="004235DD">
      <w:pPr>
        <w:autoSpaceDE w:val="0"/>
        <w:autoSpaceDN w:val="0"/>
        <w:adjustRightInd w:val="0"/>
        <w:spacing w:after="120"/>
        <w:ind w:left="360"/>
        <w:textAlignment w:val="bottom"/>
        <w:rPr>
          <w:rFonts w:ascii="Century Schoolbook" w:hAnsi="Century Schoolbook"/>
          <w:kern w:val="0"/>
          <w:sz w:val="22"/>
          <w:szCs w:val="22"/>
        </w:rPr>
      </w:pPr>
      <w:r w:rsidRPr="00C9399A">
        <w:rPr>
          <w:rFonts w:ascii="Century Schoolbook" w:hAnsi="Century Schoolbook"/>
          <w:kern w:val="0"/>
          <w:sz w:val="22"/>
          <w:szCs w:val="22"/>
        </w:rPr>
        <w:t xml:space="preserve">For cytogenetic assays in cell lines, measurement of cell population growth over time (by measuring the change in cell number during culture relative to control, e.g., by </w:t>
      </w:r>
      <w:r w:rsidRPr="00C9399A">
        <w:rPr>
          <w:rFonts w:ascii="Century Schoolbook" w:hAnsi="Century Schoolbook"/>
          <w:kern w:val="0"/>
          <w:sz w:val="22"/>
          <w:szCs w:val="22"/>
        </w:rPr>
        <w:lastRenderedPageBreak/>
        <w:t xml:space="preserve">the method referred to as </w:t>
      </w:r>
      <w:r w:rsidR="006106FB">
        <w:rPr>
          <w:rFonts w:ascii="Century Schoolbook" w:hAnsi="Century Schoolbook"/>
          <w:kern w:val="0"/>
          <w:sz w:val="22"/>
          <w:szCs w:val="22"/>
        </w:rPr>
        <w:t>Population D</w:t>
      </w:r>
      <w:r w:rsidRPr="00C9399A">
        <w:rPr>
          <w:rFonts w:ascii="Century Schoolbook" w:hAnsi="Century Schoolbook"/>
          <w:kern w:val="0"/>
          <w:sz w:val="22"/>
          <w:szCs w:val="22"/>
        </w:rPr>
        <w:t xml:space="preserve">oubling (PD; </w:t>
      </w:r>
      <w:r w:rsidR="00DB33C4">
        <w:rPr>
          <w:rFonts w:ascii="Century Schoolbook" w:hAnsi="Century Schoolbook"/>
          <w:kern w:val="0"/>
          <w:sz w:val="22"/>
          <w:szCs w:val="22"/>
        </w:rPr>
        <w:t>Note</w:t>
      </w:r>
      <w:r w:rsidRPr="00C9399A">
        <w:rPr>
          <w:rFonts w:ascii="Century Schoolbook" w:hAnsi="Century Schoolbook"/>
          <w:kern w:val="0"/>
          <w:sz w:val="22"/>
          <w:szCs w:val="22"/>
        </w:rPr>
        <w:t xml:space="preserve"> 10), has been shown to be a useful measure of </w:t>
      </w:r>
      <w:proofErr w:type="spellStart"/>
      <w:r w:rsidRPr="00C9399A">
        <w:rPr>
          <w:rFonts w:ascii="Century Schoolbook" w:hAnsi="Century Schoolbook"/>
          <w:kern w:val="0"/>
          <w:sz w:val="22"/>
          <w:szCs w:val="22"/>
        </w:rPr>
        <w:t>cytotoxicity</w:t>
      </w:r>
      <w:proofErr w:type="spellEnd"/>
      <w:r w:rsidRPr="00C9399A">
        <w:rPr>
          <w:rFonts w:ascii="Century Schoolbook" w:hAnsi="Century Schoolbook"/>
          <w:kern w:val="0"/>
          <w:sz w:val="22"/>
          <w:szCs w:val="22"/>
        </w:rPr>
        <w:t xml:space="preserve">, as it is known that cell numbers can underestimate toxicity.  For lymphocyte cultures, an inhibition of proliferation not exceeding about 50% is considered sufficient; this can be measured by </w:t>
      </w:r>
      <w:r w:rsidR="006106FB">
        <w:rPr>
          <w:rFonts w:ascii="Century Schoolbook" w:hAnsi="Century Schoolbook"/>
          <w:kern w:val="0"/>
          <w:sz w:val="22"/>
          <w:szCs w:val="22"/>
        </w:rPr>
        <w:t>Mitotic I</w:t>
      </w:r>
      <w:r w:rsidRPr="00C9399A">
        <w:rPr>
          <w:rFonts w:ascii="Century Schoolbook" w:hAnsi="Century Schoolbook"/>
          <w:kern w:val="0"/>
          <w:sz w:val="22"/>
          <w:szCs w:val="22"/>
        </w:rPr>
        <w:t xml:space="preserve">ndex (MI) for metaphase aberration assays and by an index based on </w:t>
      </w:r>
      <w:proofErr w:type="spellStart"/>
      <w:r w:rsidRPr="00C9399A">
        <w:rPr>
          <w:rFonts w:ascii="Century Schoolbook" w:hAnsi="Century Schoolbook"/>
          <w:kern w:val="0"/>
          <w:sz w:val="22"/>
          <w:szCs w:val="22"/>
        </w:rPr>
        <w:t>cytokinesis</w:t>
      </w:r>
      <w:proofErr w:type="spellEnd"/>
      <w:r w:rsidRPr="00C9399A">
        <w:rPr>
          <w:rFonts w:ascii="Century Schoolbook" w:hAnsi="Century Schoolbook"/>
          <w:kern w:val="0"/>
          <w:sz w:val="22"/>
          <w:szCs w:val="22"/>
        </w:rPr>
        <w:t xml:space="preserve"> block for </w:t>
      </w:r>
      <w:r w:rsidRPr="00C9399A">
        <w:rPr>
          <w:rFonts w:ascii="Century Schoolbook" w:hAnsi="Century Schoolbook"/>
          <w:i/>
          <w:kern w:val="0"/>
          <w:sz w:val="22"/>
          <w:szCs w:val="22"/>
        </w:rPr>
        <w:t>in vitro</w:t>
      </w:r>
      <w:r w:rsidRPr="00C9399A">
        <w:rPr>
          <w:rFonts w:ascii="Century Schoolbook" w:hAnsi="Century Schoolbook"/>
          <w:kern w:val="0"/>
          <w:sz w:val="22"/>
          <w:szCs w:val="22"/>
        </w:rPr>
        <w:t xml:space="preserve"> micronucleus assays.  In addition, for the </w:t>
      </w:r>
      <w:r w:rsidRPr="00C9399A">
        <w:rPr>
          <w:rFonts w:ascii="Century Schoolbook" w:hAnsi="Century Schoolbook"/>
          <w:i/>
          <w:kern w:val="0"/>
          <w:sz w:val="22"/>
          <w:szCs w:val="22"/>
        </w:rPr>
        <w:t>in vitro</w:t>
      </w:r>
      <w:r w:rsidRPr="00C9399A">
        <w:rPr>
          <w:rFonts w:ascii="Century Schoolbook" w:hAnsi="Century Schoolbook"/>
          <w:kern w:val="0"/>
          <w:sz w:val="22"/>
          <w:szCs w:val="22"/>
        </w:rPr>
        <w:t xml:space="preserve"> micronucleus assay, since micronuclei are scored in the </w:t>
      </w:r>
      <w:proofErr w:type="spellStart"/>
      <w:r w:rsidRPr="00C9399A">
        <w:rPr>
          <w:rFonts w:ascii="Century Schoolbook" w:hAnsi="Century Schoolbook"/>
          <w:kern w:val="0"/>
          <w:sz w:val="22"/>
          <w:szCs w:val="22"/>
        </w:rPr>
        <w:t>interphase</w:t>
      </w:r>
      <w:proofErr w:type="spellEnd"/>
      <w:r w:rsidRPr="00C9399A">
        <w:rPr>
          <w:rFonts w:ascii="Century Schoolbook" w:hAnsi="Century Schoolbook"/>
          <w:kern w:val="0"/>
          <w:sz w:val="22"/>
          <w:szCs w:val="22"/>
        </w:rPr>
        <w:t xml:space="preserve"> subsequent to a mitotic division, it is important to verify that cells have progressed through the cell cycle.  This can be done by use of </w:t>
      </w:r>
      <w:proofErr w:type="spellStart"/>
      <w:r w:rsidRPr="00C9399A">
        <w:rPr>
          <w:rFonts w:ascii="Century Schoolbook" w:hAnsi="Century Schoolbook"/>
          <w:kern w:val="0"/>
          <w:sz w:val="22"/>
          <w:szCs w:val="22"/>
        </w:rPr>
        <w:t>cytochalasin</w:t>
      </w:r>
      <w:proofErr w:type="spellEnd"/>
      <w:r w:rsidRPr="00C9399A">
        <w:rPr>
          <w:rFonts w:ascii="Century Schoolbook" w:hAnsi="Century Schoolbook"/>
          <w:kern w:val="0"/>
          <w:sz w:val="22"/>
          <w:szCs w:val="22"/>
        </w:rPr>
        <w:t xml:space="preserve"> B to allow nuclear division but not cell division, so that micronuclei can be scored in </w:t>
      </w:r>
      <w:proofErr w:type="spellStart"/>
      <w:r w:rsidRPr="00C9399A">
        <w:rPr>
          <w:rFonts w:ascii="Century Schoolbook" w:hAnsi="Century Schoolbook"/>
          <w:kern w:val="0"/>
          <w:sz w:val="22"/>
          <w:szCs w:val="22"/>
        </w:rPr>
        <w:t>binucleate</w:t>
      </w:r>
      <w:proofErr w:type="spellEnd"/>
      <w:r w:rsidRPr="00C9399A">
        <w:rPr>
          <w:rFonts w:ascii="Century Schoolbook" w:hAnsi="Century Schoolbook"/>
          <w:kern w:val="0"/>
          <w:sz w:val="22"/>
          <w:szCs w:val="22"/>
        </w:rPr>
        <w:t xml:space="preserve"> cells (the preferred method for lymphocytes).  For cell lines, other methods to demonstrate cell proliferation, including cell population growth over time (PD) as described above, can be used (Kirsch-</w:t>
      </w:r>
      <w:proofErr w:type="spellStart"/>
      <w:r w:rsidRPr="00C9399A">
        <w:rPr>
          <w:rFonts w:ascii="Century Schoolbook" w:hAnsi="Century Schoolbook"/>
          <w:kern w:val="0"/>
          <w:sz w:val="22"/>
          <w:szCs w:val="22"/>
        </w:rPr>
        <w:t>Volders</w:t>
      </w:r>
      <w:proofErr w:type="spellEnd"/>
      <w:r w:rsidRPr="00C9399A">
        <w:rPr>
          <w:rFonts w:ascii="Century Schoolbook" w:hAnsi="Century Schoolbook"/>
          <w:kern w:val="0"/>
          <w:sz w:val="22"/>
          <w:szCs w:val="22"/>
        </w:rPr>
        <w:t xml:space="preserve"> et al., 2003).</w:t>
      </w:r>
    </w:p>
    <w:p w:rsidR="001D26BE" w:rsidRPr="00C9399A" w:rsidRDefault="001D26BE" w:rsidP="004235DD">
      <w:pPr>
        <w:autoSpaceDE w:val="0"/>
        <w:autoSpaceDN w:val="0"/>
        <w:adjustRightInd w:val="0"/>
        <w:spacing w:after="120"/>
        <w:ind w:left="360"/>
        <w:textAlignment w:val="bottom"/>
        <w:rPr>
          <w:rFonts w:ascii="Century Schoolbook" w:hAnsi="Century Schoolbook"/>
          <w:kern w:val="0"/>
          <w:sz w:val="22"/>
          <w:szCs w:val="22"/>
        </w:rPr>
      </w:pPr>
      <w:r w:rsidRPr="00C9399A">
        <w:rPr>
          <w:rFonts w:ascii="Century Schoolbook" w:hAnsi="Century Schoolbook"/>
          <w:kern w:val="0"/>
          <w:sz w:val="22"/>
          <w:szCs w:val="22"/>
        </w:rPr>
        <w:t xml:space="preserve">For MLA, appropriate sensitivity is achieved by limiting the top concentration to one with close to 20% Relative Total Growth (RTG) (10-20%) both for soft agar and for </w:t>
      </w:r>
      <w:proofErr w:type="spellStart"/>
      <w:r w:rsidRPr="00C9399A">
        <w:rPr>
          <w:rFonts w:ascii="Century Schoolbook" w:hAnsi="Century Schoolbook"/>
          <w:kern w:val="0"/>
          <w:sz w:val="22"/>
          <w:szCs w:val="22"/>
        </w:rPr>
        <w:t>microwell</w:t>
      </w:r>
      <w:proofErr w:type="spellEnd"/>
      <w:r w:rsidRPr="00C9399A">
        <w:rPr>
          <w:rFonts w:ascii="Century Schoolbook" w:hAnsi="Century Schoolbook"/>
          <w:kern w:val="0"/>
          <w:sz w:val="22"/>
          <w:szCs w:val="22"/>
        </w:rPr>
        <w:t xml:space="preserve"> methods (Moore et al., 2002).  Reviews of published data using the current criteria found very few chemicals that were positive in MLA only at concentrations with less than 20% RTG and that were rodent carcinogens, and convincing evidence of </w:t>
      </w:r>
      <w:proofErr w:type="spellStart"/>
      <w:r w:rsidRPr="00C9399A">
        <w:rPr>
          <w:rFonts w:ascii="Century Schoolbook" w:hAnsi="Century Schoolbook"/>
          <w:kern w:val="0"/>
          <w:sz w:val="22"/>
          <w:szCs w:val="22"/>
        </w:rPr>
        <w:t>genotoxic</w:t>
      </w:r>
      <w:proofErr w:type="spellEnd"/>
      <w:r w:rsidRPr="00C9399A">
        <w:rPr>
          <w:rFonts w:ascii="Century Schoolbook" w:hAnsi="Century Schoolbook"/>
          <w:kern w:val="0"/>
          <w:sz w:val="22"/>
          <w:szCs w:val="22"/>
        </w:rPr>
        <w:t xml:space="preserve"> carcinogenesis for this category is lacking.  The consensus is that caution is appropriate in interpreting results when increases in mutation are seen only below 20% RTG, and a result would not be considered positive if the increase in mutant fraction occurred only at </w:t>
      </w:r>
      <w:r w:rsidRPr="00C9399A">
        <w:rPr>
          <w:rFonts w:ascii="Century Schoolbook" w:hAnsi="Century Schoolbook"/>
          <w:kern w:val="0"/>
          <w:sz w:val="22"/>
          <w:szCs w:val="22"/>
        </w:rPr>
        <w:sym w:font="Symbol" w:char="F0A3"/>
      </w:r>
      <w:r w:rsidRPr="00C9399A">
        <w:rPr>
          <w:rFonts w:ascii="Century Schoolbook" w:hAnsi="Century Schoolbook"/>
          <w:kern w:val="0"/>
          <w:sz w:val="22"/>
          <w:szCs w:val="22"/>
        </w:rPr>
        <w:t xml:space="preserve"> 10% RTG.</w:t>
      </w:r>
    </w:p>
    <w:p w:rsidR="001D26BE" w:rsidRPr="00C9399A" w:rsidRDefault="001D26BE" w:rsidP="004235DD">
      <w:pPr>
        <w:autoSpaceDE w:val="0"/>
        <w:autoSpaceDN w:val="0"/>
        <w:adjustRightInd w:val="0"/>
        <w:spacing w:after="120"/>
        <w:ind w:left="360"/>
        <w:textAlignment w:val="bottom"/>
        <w:rPr>
          <w:rFonts w:ascii="Century Schoolbook" w:hAnsi="Century Schoolbook"/>
          <w:kern w:val="0"/>
          <w:sz w:val="22"/>
          <w:szCs w:val="22"/>
        </w:rPr>
      </w:pPr>
      <w:r w:rsidRPr="00C9399A">
        <w:rPr>
          <w:rFonts w:ascii="Century Schoolbook" w:hAnsi="Century Schoolbook"/>
          <w:kern w:val="0"/>
          <w:sz w:val="22"/>
          <w:szCs w:val="22"/>
        </w:rPr>
        <w:t xml:space="preserve">In conclusion, caution is appropriate in interpreting positive results obtained as reduction in growth/survival approaches or exceeds 50% for </w:t>
      </w:r>
      <w:proofErr w:type="spellStart"/>
      <w:r w:rsidRPr="00C9399A">
        <w:rPr>
          <w:rFonts w:ascii="Century Schoolbook" w:hAnsi="Century Schoolbook"/>
          <w:kern w:val="0"/>
          <w:sz w:val="22"/>
          <w:szCs w:val="22"/>
        </w:rPr>
        <w:t>cytogenetics</w:t>
      </w:r>
      <w:proofErr w:type="spellEnd"/>
      <w:r w:rsidRPr="00C9399A">
        <w:rPr>
          <w:rFonts w:ascii="Century Schoolbook" w:hAnsi="Century Schoolbook"/>
          <w:kern w:val="0"/>
          <w:sz w:val="22"/>
          <w:szCs w:val="22"/>
        </w:rPr>
        <w:t xml:space="preserve"> assays or 80% for MLA.  It is acknowledged that the evaluation of cells treated at these levels of </w:t>
      </w:r>
      <w:proofErr w:type="spellStart"/>
      <w:r w:rsidRPr="00C9399A">
        <w:rPr>
          <w:rFonts w:ascii="Century Schoolbook" w:hAnsi="Century Schoolbook"/>
          <w:kern w:val="0"/>
          <w:sz w:val="22"/>
          <w:szCs w:val="22"/>
        </w:rPr>
        <w:t>cytotoxicity</w:t>
      </w:r>
      <w:proofErr w:type="spellEnd"/>
      <w:r w:rsidRPr="00C9399A">
        <w:rPr>
          <w:rFonts w:ascii="Century Schoolbook" w:hAnsi="Century Schoolbook"/>
          <w:kern w:val="0"/>
          <w:sz w:val="22"/>
          <w:szCs w:val="22"/>
        </w:rPr>
        <w:t>/</w:t>
      </w:r>
      <w:proofErr w:type="spellStart"/>
      <w:r w:rsidRPr="00C9399A">
        <w:rPr>
          <w:rFonts w:ascii="Century Schoolbook" w:hAnsi="Century Schoolbook"/>
          <w:kern w:val="0"/>
          <w:sz w:val="22"/>
          <w:szCs w:val="22"/>
        </w:rPr>
        <w:t>clonal</w:t>
      </w:r>
      <w:proofErr w:type="spellEnd"/>
      <w:r w:rsidRPr="00C9399A">
        <w:rPr>
          <w:rFonts w:ascii="Century Schoolbook" w:hAnsi="Century Schoolbook"/>
          <w:kern w:val="0"/>
          <w:sz w:val="22"/>
          <w:szCs w:val="22"/>
        </w:rPr>
        <w:t xml:space="preserve"> survival can result in greater sensitivity but bears an increased risk of non-relevant positive results.  The battery approach for </w:t>
      </w:r>
      <w:proofErr w:type="spellStart"/>
      <w:r w:rsidRPr="00C9399A">
        <w:rPr>
          <w:rFonts w:ascii="Century Schoolbook" w:hAnsi="Century Schoolbook"/>
          <w:kern w:val="0"/>
          <w:sz w:val="22"/>
          <w:szCs w:val="22"/>
        </w:rPr>
        <w:t>genotoxicity</w:t>
      </w:r>
      <w:proofErr w:type="spellEnd"/>
      <w:r w:rsidRPr="00C9399A">
        <w:rPr>
          <w:rFonts w:ascii="Century Schoolbook" w:hAnsi="Century Schoolbook"/>
          <w:kern w:val="0"/>
          <w:sz w:val="22"/>
          <w:szCs w:val="22"/>
        </w:rPr>
        <w:t xml:space="preserve"> is designed to ensure appropriate sensitivity without relying on single </w:t>
      </w:r>
      <w:r w:rsidRPr="00C9399A">
        <w:rPr>
          <w:rFonts w:ascii="Century Schoolbook" w:hAnsi="Century Schoolbook"/>
          <w:i/>
          <w:kern w:val="0"/>
          <w:sz w:val="22"/>
          <w:szCs w:val="22"/>
        </w:rPr>
        <w:t>in vitro</w:t>
      </w:r>
      <w:r w:rsidRPr="00C9399A">
        <w:rPr>
          <w:rFonts w:ascii="Century Schoolbook" w:hAnsi="Century Schoolbook"/>
          <w:kern w:val="0"/>
          <w:sz w:val="22"/>
          <w:szCs w:val="22"/>
        </w:rPr>
        <w:t xml:space="preserve"> mammalian cell tests at high </w:t>
      </w:r>
      <w:proofErr w:type="spellStart"/>
      <w:r w:rsidRPr="00C9399A">
        <w:rPr>
          <w:rFonts w:ascii="Century Schoolbook" w:hAnsi="Century Schoolbook"/>
          <w:kern w:val="0"/>
          <w:sz w:val="22"/>
          <w:szCs w:val="22"/>
        </w:rPr>
        <w:t>cytotoxicity</w:t>
      </w:r>
      <w:proofErr w:type="spellEnd"/>
      <w:r w:rsidRPr="00C9399A">
        <w:rPr>
          <w:rFonts w:ascii="Century Schoolbook" w:hAnsi="Century Schoolbook"/>
          <w:kern w:val="0"/>
          <w:sz w:val="22"/>
          <w:szCs w:val="22"/>
        </w:rPr>
        <w:t>.</w:t>
      </w:r>
    </w:p>
    <w:p w:rsidR="001D26BE" w:rsidRPr="00C9399A" w:rsidRDefault="001D26BE" w:rsidP="004235DD">
      <w:pPr>
        <w:autoSpaceDE w:val="0"/>
        <w:autoSpaceDN w:val="0"/>
        <w:adjustRightInd w:val="0"/>
        <w:spacing w:after="120"/>
        <w:ind w:left="360"/>
        <w:textAlignment w:val="bottom"/>
        <w:rPr>
          <w:rFonts w:ascii="Century Schoolbook" w:hAnsi="Century Schoolbook"/>
          <w:kern w:val="0"/>
          <w:sz w:val="22"/>
          <w:szCs w:val="22"/>
        </w:rPr>
      </w:pPr>
      <w:r w:rsidRPr="00C9399A">
        <w:rPr>
          <w:rFonts w:ascii="Century Schoolbook" w:hAnsi="Century Schoolbook"/>
          <w:kern w:val="0"/>
          <w:sz w:val="22"/>
          <w:szCs w:val="22"/>
        </w:rPr>
        <w:t xml:space="preserve">To obtain an appropriate toxicity range, a preliminary range-finding assay over a broad range of concentrations is useful, but in the </w:t>
      </w:r>
      <w:proofErr w:type="spellStart"/>
      <w:r w:rsidRPr="00C9399A">
        <w:rPr>
          <w:rFonts w:ascii="Century Schoolbook" w:hAnsi="Century Schoolbook"/>
          <w:kern w:val="0"/>
          <w:sz w:val="22"/>
          <w:szCs w:val="22"/>
        </w:rPr>
        <w:t>genotoxicity</w:t>
      </w:r>
      <w:proofErr w:type="spellEnd"/>
      <w:r w:rsidRPr="00C9399A">
        <w:rPr>
          <w:rFonts w:ascii="Century Schoolbook" w:hAnsi="Century Schoolbook"/>
          <w:kern w:val="0"/>
          <w:sz w:val="22"/>
          <w:szCs w:val="22"/>
        </w:rPr>
        <w:t xml:space="preserve"> assay it is often critical to use multiple concentrations that are spaced quite closely (less than two–fold dilutions).  Extra concentrations can be tested but not all concentrations need be evaluated for </w:t>
      </w:r>
      <w:proofErr w:type="spellStart"/>
      <w:r w:rsidRPr="00C9399A">
        <w:rPr>
          <w:rFonts w:ascii="Century Schoolbook" w:hAnsi="Century Schoolbook"/>
          <w:kern w:val="0"/>
          <w:sz w:val="22"/>
          <w:szCs w:val="22"/>
        </w:rPr>
        <w:t>genotoxicity</w:t>
      </w:r>
      <w:proofErr w:type="spellEnd"/>
      <w:r w:rsidRPr="00C9399A">
        <w:rPr>
          <w:rFonts w:ascii="Century Schoolbook" w:hAnsi="Century Schoolbook"/>
          <w:kern w:val="0"/>
          <w:sz w:val="22"/>
          <w:szCs w:val="22"/>
        </w:rPr>
        <w:t>.  It is not intended that multiple experiments be carried out to reach exactly 50% reduction in growth, for example, or exactly 80% reduction in RTG.</w:t>
      </w:r>
    </w:p>
    <w:p w:rsidR="001D26BE" w:rsidRPr="00C9399A" w:rsidRDefault="001D26BE" w:rsidP="004235DD">
      <w:pPr>
        <w:autoSpaceDE w:val="0"/>
        <w:autoSpaceDN w:val="0"/>
        <w:adjustRightInd w:val="0"/>
        <w:spacing w:after="120"/>
        <w:ind w:left="360" w:hanging="360"/>
        <w:textAlignment w:val="bottom"/>
        <w:rPr>
          <w:rFonts w:ascii="Century Schoolbook" w:hAnsi="Century Schoolbook"/>
          <w:kern w:val="0"/>
          <w:sz w:val="22"/>
          <w:szCs w:val="22"/>
        </w:rPr>
      </w:pPr>
      <w:r w:rsidRPr="00C9399A">
        <w:rPr>
          <w:rFonts w:ascii="Century Schoolbook" w:hAnsi="Century Schoolbook"/>
          <w:kern w:val="0"/>
          <w:sz w:val="22"/>
          <w:szCs w:val="22"/>
        </w:rPr>
        <w:t>10.</w:t>
      </w:r>
      <w:r w:rsidRPr="00C9399A">
        <w:rPr>
          <w:rFonts w:ascii="Century Schoolbook" w:hAnsi="Century Schoolbook"/>
          <w:kern w:val="0"/>
          <w:sz w:val="22"/>
          <w:szCs w:val="22"/>
        </w:rPr>
        <w:tab/>
        <w:t xml:space="preserve">For </w:t>
      </w:r>
      <w:r w:rsidRPr="00C9399A">
        <w:rPr>
          <w:rFonts w:ascii="Century Schoolbook" w:hAnsi="Century Schoolbook"/>
          <w:i/>
          <w:kern w:val="0"/>
          <w:sz w:val="22"/>
          <w:szCs w:val="22"/>
        </w:rPr>
        <w:t>in vitro</w:t>
      </w:r>
      <w:r w:rsidRPr="00C9399A">
        <w:rPr>
          <w:rFonts w:ascii="Century Schoolbook" w:hAnsi="Century Schoolbook"/>
          <w:kern w:val="0"/>
          <w:sz w:val="22"/>
          <w:szCs w:val="22"/>
        </w:rPr>
        <w:t xml:space="preserve"> cytogenetic assays it is appropriate to use a measure of relative cell growth to assess toxicity, because cell counts can underestimate toxicity (Greenwood et al., 2004).  Using calculated population doublings (see </w:t>
      </w:r>
      <w:r w:rsidR="00664629">
        <w:rPr>
          <w:rFonts w:ascii="Century Schoolbook" w:hAnsi="Century Schoolbook"/>
          <w:kern w:val="0"/>
          <w:sz w:val="22"/>
          <w:szCs w:val="22"/>
        </w:rPr>
        <w:t>G</w:t>
      </w:r>
      <w:r w:rsidRPr="00C9399A">
        <w:rPr>
          <w:rFonts w:ascii="Century Schoolbook" w:hAnsi="Century Schoolbook"/>
          <w:kern w:val="0"/>
          <w:sz w:val="22"/>
          <w:szCs w:val="22"/>
        </w:rPr>
        <w:t>lossary) to estimate the 50% growth reduction level, it was demonstrated that the frequency of positive results with compounds that are not mutagenic or carcinogenic is reduced, while agents that act via direct interaction with DNA are reliably positive.</w:t>
      </w:r>
    </w:p>
    <w:p w:rsidR="001D26BE" w:rsidRPr="00C9399A" w:rsidRDefault="001D26BE" w:rsidP="004235DD">
      <w:pPr>
        <w:autoSpaceDE w:val="0"/>
        <w:autoSpaceDN w:val="0"/>
        <w:adjustRightInd w:val="0"/>
        <w:spacing w:after="120"/>
        <w:ind w:left="360" w:hanging="360"/>
        <w:textAlignment w:val="bottom"/>
        <w:rPr>
          <w:rFonts w:ascii="Century Schoolbook" w:hAnsi="Century Schoolbook"/>
          <w:iCs/>
          <w:kern w:val="0"/>
          <w:sz w:val="22"/>
          <w:szCs w:val="22"/>
        </w:rPr>
      </w:pPr>
      <w:bookmarkStart w:id="108" w:name="OLE_LINK3"/>
      <w:bookmarkStart w:id="109" w:name="OLE_LINK9"/>
      <w:r w:rsidRPr="00C9399A">
        <w:rPr>
          <w:rFonts w:ascii="Century Schoolbook" w:hAnsi="Century Schoolbook"/>
          <w:sz w:val="22"/>
          <w:szCs w:val="22"/>
        </w:rPr>
        <w:t>11.</w:t>
      </w:r>
      <w:r w:rsidRPr="00C9399A">
        <w:rPr>
          <w:rFonts w:ascii="Century Schoolbook" w:hAnsi="Century Schoolbook"/>
          <w:iCs/>
          <w:kern w:val="0"/>
          <w:sz w:val="22"/>
          <w:szCs w:val="22"/>
        </w:rPr>
        <w:tab/>
        <w:t xml:space="preserve">In certain cases it can be useful to examine chromosome aberrations at metaphase in lymphocytes cultured from test animals after one or more administrations of test compound, just as bone marrow metaphase cells can be used. </w:t>
      </w:r>
      <w:r w:rsidR="002A5938">
        <w:rPr>
          <w:rFonts w:ascii="Century Schoolbook" w:hAnsi="Century Schoolbook"/>
          <w:iCs/>
          <w:kern w:val="0"/>
          <w:sz w:val="22"/>
          <w:szCs w:val="22"/>
        </w:rPr>
        <w:t xml:space="preserve"> </w:t>
      </w:r>
      <w:r w:rsidRPr="00C9399A">
        <w:rPr>
          <w:rFonts w:ascii="Century Schoolbook" w:hAnsi="Century Schoolbook"/>
          <w:iCs/>
          <w:kern w:val="0"/>
          <w:sz w:val="22"/>
          <w:szCs w:val="22"/>
        </w:rPr>
        <w:t xml:space="preserve">Since circulating lymphocytes are not replicating, agents that require replication for their </w:t>
      </w:r>
      <w:proofErr w:type="spellStart"/>
      <w:r w:rsidRPr="00C9399A">
        <w:rPr>
          <w:rFonts w:ascii="Century Schoolbook" w:hAnsi="Century Schoolbook"/>
          <w:iCs/>
          <w:kern w:val="0"/>
          <w:sz w:val="22"/>
          <w:szCs w:val="22"/>
        </w:rPr>
        <w:t>genotoxic</w:t>
      </w:r>
      <w:proofErr w:type="spellEnd"/>
      <w:r w:rsidRPr="00C9399A">
        <w:rPr>
          <w:rFonts w:ascii="Century Schoolbook" w:hAnsi="Century Schoolbook"/>
          <w:iCs/>
          <w:kern w:val="0"/>
          <w:sz w:val="22"/>
          <w:szCs w:val="22"/>
        </w:rPr>
        <w:t xml:space="preserve"> effect (e.g., some nucleoside analogs) are not expected to be detected in this cell type.   Because some lymphocytes are relatively long-lived, in principle there is the potential for accumulation of un-repaired DNA damage </w:t>
      </w:r>
      <w:r w:rsidRPr="00C9399A">
        <w:rPr>
          <w:rFonts w:ascii="Century Schoolbook" w:hAnsi="Century Schoolbook"/>
          <w:i/>
          <w:iCs/>
          <w:kern w:val="0"/>
          <w:sz w:val="22"/>
          <w:szCs w:val="22"/>
        </w:rPr>
        <w:t>in vivo</w:t>
      </w:r>
      <w:r w:rsidRPr="00C9399A">
        <w:rPr>
          <w:rFonts w:ascii="Century Schoolbook" w:hAnsi="Century Schoolbook"/>
          <w:iCs/>
          <w:kern w:val="0"/>
          <w:sz w:val="22"/>
          <w:szCs w:val="22"/>
        </w:rPr>
        <w:t xml:space="preserve"> that would give rise to aberrations when the cells are stimulated to divide </w:t>
      </w:r>
      <w:r w:rsidRPr="00C9399A">
        <w:rPr>
          <w:rFonts w:ascii="Century Schoolbook" w:hAnsi="Century Schoolbook"/>
          <w:i/>
          <w:iCs/>
          <w:kern w:val="0"/>
          <w:sz w:val="22"/>
          <w:szCs w:val="22"/>
        </w:rPr>
        <w:t>in vitro</w:t>
      </w:r>
      <w:r w:rsidRPr="00C9399A">
        <w:rPr>
          <w:rFonts w:ascii="Century Schoolbook" w:hAnsi="Century Schoolbook"/>
          <w:iCs/>
          <w:kern w:val="0"/>
          <w:sz w:val="22"/>
          <w:szCs w:val="22"/>
        </w:rPr>
        <w:t xml:space="preserve">.  The </w:t>
      </w:r>
      <w:r w:rsidRPr="00C9399A">
        <w:rPr>
          <w:rFonts w:ascii="Century Schoolbook" w:hAnsi="Century Schoolbook"/>
          <w:i/>
          <w:iCs/>
          <w:kern w:val="0"/>
          <w:sz w:val="22"/>
          <w:szCs w:val="22"/>
        </w:rPr>
        <w:t>in vivo</w:t>
      </w:r>
      <w:r w:rsidRPr="00C9399A">
        <w:rPr>
          <w:rFonts w:ascii="Century Schoolbook" w:hAnsi="Century Schoolbook"/>
          <w:iCs/>
          <w:kern w:val="0"/>
          <w:sz w:val="22"/>
          <w:szCs w:val="22"/>
        </w:rPr>
        <w:t xml:space="preserve"> lymphocyte </w:t>
      </w:r>
      <w:r w:rsidRPr="00C9399A">
        <w:rPr>
          <w:rFonts w:ascii="Century Schoolbook" w:hAnsi="Century Schoolbook"/>
          <w:iCs/>
          <w:kern w:val="0"/>
          <w:sz w:val="22"/>
          <w:szCs w:val="22"/>
        </w:rPr>
        <w:lastRenderedPageBreak/>
        <w:t xml:space="preserve">assay can be useful in following up indications of </w:t>
      </w:r>
      <w:proofErr w:type="spellStart"/>
      <w:r w:rsidRPr="00C9399A">
        <w:rPr>
          <w:rFonts w:ascii="Century Schoolbook" w:hAnsi="Century Schoolbook"/>
          <w:iCs/>
          <w:kern w:val="0"/>
          <w:sz w:val="22"/>
          <w:szCs w:val="22"/>
        </w:rPr>
        <w:t>clastogenicity</w:t>
      </w:r>
      <w:proofErr w:type="spellEnd"/>
      <w:r w:rsidRPr="00C9399A">
        <w:rPr>
          <w:rFonts w:ascii="Century Schoolbook" w:hAnsi="Century Schoolbook"/>
          <w:iCs/>
          <w:kern w:val="0"/>
          <w:sz w:val="22"/>
          <w:szCs w:val="22"/>
        </w:rPr>
        <w:t>, but in general another tissue such as liver is a more informative supplement to the micronucleus assay in hematopoietic cells because exposure to drug and metabolite(s) is often higher in liver.</w:t>
      </w:r>
    </w:p>
    <w:p w:rsidR="001D26BE" w:rsidRPr="00C9399A" w:rsidRDefault="001D26BE" w:rsidP="004235DD">
      <w:pPr>
        <w:autoSpaceDE w:val="0"/>
        <w:autoSpaceDN w:val="0"/>
        <w:adjustRightInd w:val="0"/>
        <w:spacing w:after="120"/>
        <w:ind w:left="360" w:hanging="360"/>
        <w:textAlignment w:val="bottom"/>
        <w:rPr>
          <w:rFonts w:ascii="Century Schoolbook" w:hAnsi="Century Schoolbook"/>
          <w:kern w:val="0"/>
          <w:sz w:val="22"/>
          <w:szCs w:val="22"/>
        </w:rPr>
      </w:pPr>
      <w:r w:rsidRPr="00C9399A">
        <w:rPr>
          <w:rFonts w:ascii="Century Schoolbook" w:hAnsi="Century Schoolbook"/>
          <w:kern w:val="0"/>
          <w:sz w:val="22"/>
          <w:szCs w:val="22"/>
        </w:rPr>
        <w:t>12.</w:t>
      </w:r>
      <w:r w:rsidRPr="00C9399A">
        <w:rPr>
          <w:rFonts w:ascii="Century Schoolbook" w:hAnsi="Century Schoolbook"/>
          <w:kern w:val="0"/>
          <w:sz w:val="22"/>
          <w:szCs w:val="22"/>
        </w:rPr>
        <w:tab/>
        <w:t xml:space="preserve">The inclusion of a second </w:t>
      </w:r>
      <w:r w:rsidRPr="00C9399A">
        <w:rPr>
          <w:rFonts w:ascii="Century Schoolbook" w:hAnsi="Century Schoolbook"/>
          <w:i/>
          <w:kern w:val="0"/>
          <w:sz w:val="22"/>
          <w:szCs w:val="22"/>
        </w:rPr>
        <w:t>in vivo</w:t>
      </w:r>
      <w:r w:rsidRPr="00C9399A">
        <w:rPr>
          <w:rFonts w:ascii="Century Schoolbook" w:hAnsi="Century Schoolbook"/>
          <w:kern w:val="0"/>
          <w:sz w:val="22"/>
          <w:szCs w:val="22"/>
        </w:rPr>
        <w:t xml:space="preserve"> assay in the battery is to provide assurance of lack of </w:t>
      </w:r>
      <w:proofErr w:type="spellStart"/>
      <w:r w:rsidRPr="00C9399A">
        <w:rPr>
          <w:rFonts w:ascii="Century Schoolbook" w:hAnsi="Century Schoolbook"/>
          <w:kern w:val="0"/>
          <w:sz w:val="22"/>
          <w:szCs w:val="22"/>
        </w:rPr>
        <w:t>genotoxicity</w:t>
      </w:r>
      <w:proofErr w:type="spellEnd"/>
      <w:r w:rsidRPr="00C9399A">
        <w:rPr>
          <w:rFonts w:ascii="Century Schoolbook" w:hAnsi="Century Schoolbook"/>
          <w:kern w:val="0"/>
          <w:sz w:val="22"/>
          <w:szCs w:val="22"/>
        </w:rPr>
        <w:t xml:space="preserve"> by use of a tissue that is well exposed to a drug and/or its metabolites; a small number of carcinogens that are considered </w:t>
      </w:r>
      <w:proofErr w:type="spellStart"/>
      <w:r w:rsidRPr="00C9399A">
        <w:rPr>
          <w:rFonts w:ascii="Century Schoolbook" w:hAnsi="Century Schoolbook"/>
          <w:kern w:val="0"/>
          <w:sz w:val="22"/>
          <w:szCs w:val="22"/>
        </w:rPr>
        <w:t>genotoxic</w:t>
      </w:r>
      <w:proofErr w:type="spellEnd"/>
      <w:r w:rsidRPr="00C9399A">
        <w:rPr>
          <w:rFonts w:ascii="Century Schoolbook" w:hAnsi="Century Schoolbook"/>
          <w:kern w:val="0"/>
          <w:sz w:val="22"/>
          <w:szCs w:val="22"/>
        </w:rPr>
        <w:t xml:space="preserve"> gave positive results in a test in liver but were negative in a </w:t>
      </w:r>
      <w:proofErr w:type="spellStart"/>
      <w:r w:rsidRPr="00C9399A">
        <w:rPr>
          <w:rFonts w:ascii="Century Schoolbook" w:hAnsi="Century Schoolbook"/>
          <w:kern w:val="0"/>
          <w:sz w:val="22"/>
          <w:szCs w:val="22"/>
        </w:rPr>
        <w:t>cytogenetics</w:t>
      </w:r>
      <w:proofErr w:type="spellEnd"/>
      <w:r w:rsidRPr="00C9399A">
        <w:rPr>
          <w:rFonts w:ascii="Century Schoolbook" w:hAnsi="Century Schoolbook"/>
          <w:kern w:val="0"/>
          <w:sz w:val="22"/>
          <w:szCs w:val="22"/>
        </w:rPr>
        <w:t xml:space="preserve"> assay </w:t>
      </w:r>
      <w:r w:rsidRPr="00C9399A">
        <w:rPr>
          <w:rFonts w:ascii="Century Schoolbook" w:hAnsi="Century Schoolbook"/>
          <w:i/>
          <w:kern w:val="0"/>
          <w:sz w:val="22"/>
          <w:szCs w:val="22"/>
        </w:rPr>
        <w:t xml:space="preserve">in vivo </w:t>
      </w:r>
      <w:r w:rsidRPr="00C9399A">
        <w:rPr>
          <w:rFonts w:ascii="Century Schoolbook" w:hAnsi="Century Schoolbook"/>
          <w:kern w:val="0"/>
          <w:sz w:val="22"/>
          <w:szCs w:val="22"/>
        </w:rPr>
        <w:t>in bone marrow.  These examples likely reflect a lack of appropriate metabolic activity or lack of reactive intermediates delivered to the hematopoietic cells of the bone marrow.</w:t>
      </w:r>
    </w:p>
    <w:p w:rsidR="001D26BE" w:rsidRPr="00C9399A" w:rsidRDefault="001D26BE" w:rsidP="004235DD">
      <w:pPr>
        <w:autoSpaceDE w:val="0"/>
        <w:autoSpaceDN w:val="0"/>
        <w:adjustRightInd w:val="0"/>
        <w:spacing w:after="120"/>
        <w:ind w:left="360"/>
        <w:textAlignment w:val="bottom"/>
        <w:rPr>
          <w:rFonts w:ascii="Century Schoolbook" w:hAnsi="Century Schoolbook"/>
          <w:sz w:val="22"/>
          <w:szCs w:val="22"/>
        </w:rPr>
      </w:pPr>
      <w:r w:rsidRPr="00C9399A">
        <w:rPr>
          <w:rFonts w:ascii="Century Schoolbook" w:hAnsi="Century Schoolbook"/>
          <w:sz w:val="22"/>
          <w:szCs w:val="22"/>
        </w:rPr>
        <w:t xml:space="preserve">Assays for DNA strand breaks, DNA adducts, and mutations in </w:t>
      </w:r>
      <w:proofErr w:type="spellStart"/>
      <w:r w:rsidRPr="00C9399A">
        <w:rPr>
          <w:rFonts w:ascii="Century Schoolbook" w:hAnsi="Century Schoolbook"/>
          <w:sz w:val="22"/>
          <w:szCs w:val="22"/>
        </w:rPr>
        <w:t>transgenes</w:t>
      </w:r>
      <w:proofErr w:type="spellEnd"/>
      <w:r w:rsidRPr="00C9399A">
        <w:rPr>
          <w:rFonts w:ascii="Century Schoolbook" w:hAnsi="Century Schoolbook"/>
          <w:sz w:val="22"/>
          <w:szCs w:val="22"/>
        </w:rPr>
        <w:t xml:space="preserve"> have the advantage that they can be applied in many tissues.  Internationally agreed protocols are not yet in place for all the </w:t>
      </w:r>
      <w:r w:rsidRPr="00C9399A">
        <w:rPr>
          <w:rFonts w:ascii="Century Schoolbook" w:hAnsi="Century Schoolbook"/>
          <w:i/>
          <w:sz w:val="22"/>
          <w:szCs w:val="22"/>
        </w:rPr>
        <w:t>in vivo</w:t>
      </w:r>
      <w:r w:rsidRPr="00C9399A">
        <w:rPr>
          <w:rFonts w:ascii="Century Schoolbook" w:hAnsi="Century Schoolbook"/>
          <w:sz w:val="22"/>
          <w:szCs w:val="22"/>
        </w:rPr>
        <w:t xml:space="preserve"> assays, although considerable experience and published data and protocol recommendations exist for DNA strand break assays (Comet and alkaline elution assays), DNA adduct (covalent binding) measurements, and transgenic rodent mutation assays, in addition to the UDS assay.  For a compound that is positive </w:t>
      </w:r>
      <w:r w:rsidR="00DB33C4" w:rsidRPr="00DB33C4">
        <w:rPr>
          <w:rFonts w:ascii="Century Schoolbook" w:hAnsi="Century Schoolbook"/>
          <w:i/>
          <w:sz w:val="22"/>
          <w:szCs w:val="22"/>
        </w:rPr>
        <w:t>in vitro</w:t>
      </w:r>
      <w:r w:rsidRPr="00C9399A">
        <w:rPr>
          <w:rFonts w:ascii="Century Schoolbook" w:hAnsi="Century Schoolbook"/>
          <w:sz w:val="22"/>
          <w:szCs w:val="22"/>
        </w:rPr>
        <w:t xml:space="preserve"> in the MLA and induces predominantly large colonies, and is also shown not to induce chromosome breakage in an </w:t>
      </w:r>
      <w:r w:rsidR="00DB33C4" w:rsidRPr="00DB33C4">
        <w:rPr>
          <w:rFonts w:ascii="Century Schoolbook" w:hAnsi="Century Schoolbook"/>
          <w:i/>
          <w:sz w:val="22"/>
          <w:szCs w:val="22"/>
        </w:rPr>
        <w:t>in vitro</w:t>
      </w:r>
      <w:r w:rsidRPr="00C9399A">
        <w:rPr>
          <w:rFonts w:ascii="Century Schoolbook" w:hAnsi="Century Schoolbook"/>
          <w:sz w:val="22"/>
          <w:szCs w:val="22"/>
        </w:rPr>
        <w:t xml:space="preserve"> metaphase assay, an </w:t>
      </w:r>
      <w:r w:rsidR="00DB33C4" w:rsidRPr="00DB33C4">
        <w:rPr>
          <w:rFonts w:ascii="Century Schoolbook" w:hAnsi="Century Schoolbook"/>
          <w:i/>
          <w:sz w:val="22"/>
          <w:szCs w:val="22"/>
        </w:rPr>
        <w:t>in vivo</w:t>
      </w:r>
      <w:r w:rsidRPr="00C9399A">
        <w:rPr>
          <w:rFonts w:ascii="Century Schoolbook" w:hAnsi="Century Schoolbook"/>
          <w:sz w:val="22"/>
          <w:szCs w:val="22"/>
        </w:rPr>
        <w:t xml:space="preserve"> assay for mutation, such as a transgenic mouse mutation assay, should be considered in preference to a DNA strand break assay.  The UDS assay is considered useful mainly for compounds that induce bulky DNA adducts or are positive in the Ames test.  Because </w:t>
      </w:r>
      <w:proofErr w:type="spellStart"/>
      <w:r w:rsidRPr="00C9399A">
        <w:rPr>
          <w:rFonts w:ascii="Century Schoolbook" w:hAnsi="Century Schoolbook"/>
          <w:sz w:val="22"/>
          <w:szCs w:val="22"/>
        </w:rPr>
        <w:t>cytotoxicity</w:t>
      </w:r>
      <w:proofErr w:type="spellEnd"/>
      <w:r w:rsidRPr="00C9399A">
        <w:rPr>
          <w:rFonts w:ascii="Century Schoolbook" w:hAnsi="Century Schoolbook"/>
          <w:sz w:val="22"/>
          <w:szCs w:val="22"/>
        </w:rPr>
        <w:t xml:space="preserve"> induces DNA strand breakage, careful </w:t>
      </w:r>
      <w:proofErr w:type="spellStart"/>
      <w:r w:rsidRPr="00C9399A">
        <w:rPr>
          <w:rFonts w:ascii="Century Schoolbook" w:hAnsi="Century Schoolbook"/>
          <w:sz w:val="22"/>
          <w:szCs w:val="22"/>
        </w:rPr>
        <w:t>cytotoxicity</w:t>
      </w:r>
      <w:proofErr w:type="spellEnd"/>
      <w:r w:rsidRPr="00C9399A">
        <w:rPr>
          <w:rFonts w:ascii="Century Schoolbook" w:hAnsi="Century Schoolbook"/>
          <w:sz w:val="22"/>
          <w:szCs w:val="22"/>
        </w:rPr>
        <w:t xml:space="preserve"> assessment is needed to avoid confounding the results of DNA strand break assays.  This has been well characterized for the </w:t>
      </w:r>
      <w:r w:rsidRPr="00C9399A">
        <w:rPr>
          <w:rFonts w:ascii="Century Schoolbook" w:hAnsi="Century Schoolbook"/>
          <w:i/>
          <w:sz w:val="22"/>
          <w:szCs w:val="22"/>
        </w:rPr>
        <w:t>in vitro</w:t>
      </w:r>
      <w:r w:rsidRPr="00C9399A">
        <w:rPr>
          <w:rFonts w:ascii="Century Schoolbook" w:hAnsi="Century Schoolbook"/>
          <w:sz w:val="22"/>
          <w:szCs w:val="22"/>
        </w:rPr>
        <w:t xml:space="preserve"> alkaline elution test (</w:t>
      </w:r>
      <w:proofErr w:type="spellStart"/>
      <w:r w:rsidRPr="00C9399A">
        <w:rPr>
          <w:rFonts w:ascii="Century Schoolbook" w:hAnsi="Century Schoolbook"/>
          <w:sz w:val="22"/>
          <w:szCs w:val="22"/>
        </w:rPr>
        <w:t>Storer</w:t>
      </w:r>
      <w:proofErr w:type="spellEnd"/>
      <w:r w:rsidRPr="00C9399A">
        <w:rPr>
          <w:rFonts w:ascii="Century Schoolbook" w:hAnsi="Century Schoolbook"/>
          <w:sz w:val="22"/>
          <w:szCs w:val="22"/>
        </w:rPr>
        <w:t xml:space="preserve"> et al., 1996) but not yet fully validated for the Comet assay.  In principle the DNA strand break assays can be used in repeat-dose toxicology assays with appropriate dose levels and sampling times.</w:t>
      </w:r>
    </w:p>
    <w:p w:rsidR="001D26BE" w:rsidRPr="00C9399A" w:rsidRDefault="001D26BE" w:rsidP="004235DD">
      <w:pPr>
        <w:autoSpaceDE w:val="0"/>
        <w:autoSpaceDN w:val="0"/>
        <w:adjustRightInd w:val="0"/>
        <w:spacing w:after="120"/>
        <w:ind w:left="360"/>
        <w:textAlignment w:val="bottom"/>
        <w:rPr>
          <w:rFonts w:ascii="Century Schoolbook" w:hAnsi="Century Schoolbook"/>
          <w:kern w:val="0"/>
          <w:sz w:val="22"/>
          <w:szCs w:val="22"/>
        </w:rPr>
      </w:pPr>
      <w:r w:rsidRPr="00C9399A">
        <w:rPr>
          <w:rFonts w:ascii="Century Schoolbook" w:hAnsi="Century Schoolbook"/>
          <w:kern w:val="0"/>
          <w:sz w:val="22"/>
          <w:szCs w:val="22"/>
        </w:rPr>
        <w:t xml:space="preserve">Since liver of mature animals is not a highly mitotic tissue, often a non-cytogenetic endpoint is used for the second assay, but when dividing </w:t>
      </w:r>
      <w:proofErr w:type="spellStart"/>
      <w:r w:rsidRPr="00C9399A">
        <w:rPr>
          <w:rFonts w:ascii="Century Schoolbook" w:hAnsi="Century Schoolbook"/>
          <w:kern w:val="0"/>
          <w:sz w:val="22"/>
          <w:szCs w:val="22"/>
        </w:rPr>
        <w:t>hepatocytes</w:t>
      </w:r>
      <w:proofErr w:type="spellEnd"/>
      <w:r w:rsidRPr="00C9399A">
        <w:rPr>
          <w:rFonts w:ascii="Century Schoolbook" w:hAnsi="Century Schoolbook"/>
          <w:kern w:val="0"/>
          <w:sz w:val="22"/>
          <w:szCs w:val="22"/>
        </w:rPr>
        <w:t xml:space="preserve"> are present, such as after partial </w:t>
      </w:r>
      <w:proofErr w:type="spellStart"/>
      <w:r w:rsidRPr="00C9399A">
        <w:rPr>
          <w:rFonts w:ascii="Century Schoolbook" w:hAnsi="Century Schoolbook"/>
          <w:kern w:val="0"/>
          <w:sz w:val="22"/>
          <w:szCs w:val="22"/>
        </w:rPr>
        <w:t>hepatectomy</w:t>
      </w:r>
      <w:proofErr w:type="spellEnd"/>
      <w:r w:rsidRPr="00C9399A">
        <w:rPr>
          <w:rFonts w:ascii="Century Schoolbook" w:hAnsi="Century Schoolbook"/>
          <w:kern w:val="0"/>
          <w:sz w:val="22"/>
          <w:szCs w:val="22"/>
        </w:rPr>
        <w:t xml:space="preserve">, or in young rats (Hayashi et al., 2007), micronucleus analysis in liver is possible, and detects known </w:t>
      </w:r>
      <w:proofErr w:type="spellStart"/>
      <w:r w:rsidRPr="00C9399A">
        <w:rPr>
          <w:rFonts w:ascii="Century Schoolbook" w:hAnsi="Century Schoolbook"/>
          <w:kern w:val="0"/>
          <w:sz w:val="22"/>
          <w:szCs w:val="22"/>
        </w:rPr>
        <w:t>genotoxic</w:t>
      </w:r>
      <w:proofErr w:type="spellEnd"/>
      <w:r w:rsidRPr="00C9399A">
        <w:rPr>
          <w:rFonts w:ascii="Century Schoolbook" w:hAnsi="Century Schoolbook"/>
          <w:kern w:val="0"/>
          <w:sz w:val="22"/>
          <w:szCs w:val="22"/>
        </w:rPr>
        <w:t xml:space="preserve"> compounds.</w:t>
      </w:r>
    </w:p>
    <w:bookmarkEnd w:id="108"/>
    <w:bookmarkEnd w:id="109"/>
    <w:p w:rsidR="001D26BE" w:rsidRPr="00C9399A" w:rsidRDefault="001D26BE" w:rsidP="004235DD">
      <w:pPr>
        <w:autoSpaceDE w:val="0"/>
        <w:autoSpaceDN w:val="0"/>
        <w:adjustRightInd w:val="0"/>
        <w:spacing w:after="120"/>
        <w:ind w:left="360" w:hanging="360"/>
        <w:textAlignment w:val="bottom"/>
        <w:rPr>
          <w:rFonts w:ascii="Century Schoolbook" w:hAnsi="Century Schoolbook"/>
          <w:sz w:val="22"/>
          <w:szCs w:val="22"/>
        </w:rPr>
      </w:pPr>
      <w:r w:rsidRPr="00C9399A">
        <w:rPr>
          <w:rFonts w:ascii="Century Schoolbook" w:hAnsi="Century Schoolbook"/>
          <w:sz w:val="22"/>
          <w:szCs w:val="22"/>
        </w:rPr>
        <w:t>13.</w:t>
      </w:r>
      <w:r w:rsidRPr="00C9399A">
        <w:rPr>
          <w:rFonts w:ascii="Century Schoolbook" w:hAnsi="Century Schoolbook"/>
          <w:sz w:val="22"/>
          <w:szCs w:val="22"/>
        </w:rPr>
        <w:tab/>
        <w:t xml:space="preserve">For common vehicles like aqueous methyl cellulose this would usually be appropriate, but for vehicles such as </w:t>
      </w:r>
      <w:proofErr w:type="spellStart"/>
      <w:r w:rsidRPr="00C9399A">
        <w:rPr>
          <w:rFonts w:ascii="Century Schoolbook" w:hAnsi="Century Schoolbook"/>
          <w:sz w:val="22"/>
          <w:szCs w:val="22"/>
        </w:rPr>
        <w:t>Tween</w:t>
      </w:r>
      <w:proofErr w:type="spellEnd"/>
      <w:r w:rsidRPr="00C9399A">
        <w:rPr>
          <w:rFonts w:ascii="Century Schoolbook" w:hAnsi="Century Schoolbook"/>
          <w:sz w:val="22"/>
          <w:szCs w:val="22"/>
        </w:rPr>
        <w:t xml:space="preserve"> 80, the volume that can be administered could be as much as 30 fold lower than that given acutely.</w:t>
      </w:r>
    </w:p>
    <w:p w:rsidR="001D26BE" w:rsidRPr="00C9399A" w:rsidRDefault="001D26BE" w:rsidP="004235DD">
      <w:pPr>
        <w:autoSpaceDE w:val="0"/>
        <w:autoSpaceDN w:val="0"/>
        <w:adjustRightInd w:val="0"/>
        <w:spacing w:after="120"/>
        <w:ind w:left="360" w:hanging="360"/>
        <w:textAlignment w:val="bottom"/>
        <w:rPr>
          <w:rFonts w:ascii="Century Schoolbook" w:hAnsi="Century Schoolbook"/>
          <w:kern w:val="0"/>
          <w:sz w:val="22"/>
          <w:szCs w:val="22"/>
        </w:rPr>
      </w:pPr>
      <w:r w:rsidRPr="00C9399A">
        <w:rPr>
          <w:rFonts w:ascii="Century Schoolbook" w:hAnsi="Century Schoolbook"/>
          <w:kern w:val="0"/>
          <w:sz w:val="22"/>
          <w:szCs w:val="22"/>
        </w:rPr>
        <w:t>14.</w:t>
      </w:r>
      <w:r w:rsidRPr="00C9399A">
        <w:rPr>
          <w:rFonts w:ascii="Century Schoolbook" w:hAnsi="Century Schoolbook"/>
          <w:kern w:val="0"/>
          <w:sz w:val="22"/>
          <w:szCs w:val="22"/>
        </w:rPr>
        <w:tab/>
        <w:t xml:space="preserve">Caution is appropriate if the toxicological study design includes additional blood sampling, e.g., for measurement of exposure.  Such bleeding could perturb the results of micronucleus analysis since </w:t>
      </w:r>
      <w:proofErr w:type="spellStart"/>
      <w:r w:rsidRPr="00C9399A">
        <w:rPr>
          <w:rFonts w:ascii="Century Schoolbook" w:hAnsi="Century Schoolbook"/>
          <w:kern w:val="0"/>
          <w:sz w:val="22"/>
          <w:szCs w:val="22"/>
        </w:rPr>
        <w:t>erythropoiesis</w:t>
      </w:r>
      <w:proofErr w:type="spellEnd"/>
      <w:r w:rsidRPr="00C9399A">
        <w:rPr>
          <w:rFonts w:ascii="Century Schoolbook" w:hAnsi="Century Schoolbook"/>
          <w:kern w:val="0"/>
          <w:sz w:val="22"/>
          <w:szCs w:val="22"/>
        </w:rPr>
        <w:t xml:space="preserve"> stimulated by bleeding can lead to increases in </w:t>
      </w:r>
      <w:proofErr w:type="spellStart"/>
      <w:r w:rsidRPr="00C9399A">
        <w:rPr>
          <w:rFonts w:ascii="Century Schoolbook" w:hAnsi="Century Schoolbook"/>
          <w:kern w:val="0"/>
          <w:sz w:val="22"/>
          <w:szCs w:val="22"/>
        </w:rPr>
        <w:t>micronucleated</w:t>
      </w:r>
      <w:proofErr w:type="spellEnd"/>
      <w:r w:rsidRPr="00C9399A">
        <w:rPr>
          <w:rFonts w:ascii="Century Schoolbook" w:hAnsi="Century Schoolbook"/>
          <w:kern w:val="0"/>
          <w:sz w:val="22"/>
          <w:szCs w:val="22"/>
        </w:rPr>
        <w:t xml:space="preserve"> erythrocytes.</w:t>
      </w:r>
    </w:p>
    <w:p w:rsidR="001D26BE" w:rsidRPr="00C9399A" w:rsidRDefault="001D26BE" w:rsidP="004235DD">
      <w:pPr>
        <w:autoSpaceDE w:val="0"/>
        <w:autoSpaceDN w:val="0"/>
        <w:adjustRightInd w:val="0"/>
        <w:spacing w:after="120"/>
        <w:ind w:left="360" w:hanging="360"/>
        <w:textAlignment w:val="bottom"/>
        <w:rPr>
          <w:rFonts w:ascii="Century Schoolbook" w:hAnsi="Century Schoolbook"/>
          <w:bCs/>
          <w:sz w:val="22"/>
          <w:szCs w:val="22"/>
        </w:rPr>
      </w:pPr>
      <w:r w:rsidRPr="00C9399A">
        <w:rPr>
          <w:rFonts w:ascii="Century Schoolbook" w:hAnsi="Century Schoolbook"/>
          <w:bCs/>
          <w:sz w:val="22"/>
          <w:szCs w:val="22"/>
        </w:rPr>
        <w:t>15.</w:t>
      </w:r>
      <w:r w:rsidRPr="00C9399A">
        <w:rPr>
          <w:rFonts w:ascii="Century Schoolbook" w:hAnsi="Century Schoolbook"/>
          <w:bCs/>
          <w:sz w:val="22"/>
          <w:szCs w:val="22"/>
        </w:rPr>
        <w:tab/>
        <w:t xml:space="preserve">Increases in micronuclei can occur without administration of any </w:t>
      </w:r>
      <w:proofErr w:type="spellStart"/>
      <w:r w:rsidRPr="00C9399A">
        <w:rPr>
          <w:rFonts w:ascii="Century Schoolbook" w:hAnsi="Century Schoolbook"/>
          <w:bCs/>
          <w:sz w:val="22"/>
          <w:szCs w:val="22"/>
        </w:rPr>
        <w:t>genotoxic</w:t>
      </w:r>
      <w:proofErr w:type="spellEnd"/>
      <w:r w:rsidRPr="00C9399A">
        <w:rPr>
          <w:rFonts w:ascii="Century Schoolbook" w:hAnsi="Century Schoolbook"/>
          <w:bCs/>
          <w:sz w:val="22"/>
          <w:szCs w:val="22"/>
        </w:rPr>
        <w:t xml:space="preserve"> agent, due to disturbance in </w:t>
      </w:r>
      <w:proofErr w:type="spellStart"/>
      <w:r w:rsidRPr="00C9399A">
        <w:rPr>
          <w:rFonts w:ascii="Century Schoolbook" w:hAnsi="Century Schoolbook"/>
          <w:bCs/>
          <w:sz w:val="22"/>
          <w:szCs w:val="22"/>
        </w:rPr>
        <w:t>erythropoiesis</w:t>
      </w:r>
      <w:proofErr w:type="spellEnd"/>
      <w:r w:rsidRPr="00C9399A">
        <w:rPr>
          <w:rFonts w:ascii="Century Schoolbook" w:hAnsi="Century Schoolbook"/>
          <w:bCs/>
          <w:sz w:val="22"/>
          <w:szCs w:val="22"/>
        </w:rPr>
        <w:t xml:space="preserve"> (such as regenerative anemia; </w:t>
      </w:r>
      <w:proofErr w:type="spellStart"/>
      <w:r w:rsidRPr="00C9399A">
        <w:rPr>
          <w:rFonts w:ascii="Century Schoolbook" w:hAnsi="Century Schoolbook"/>
          <w:bCs/>
          <w:sz w:val="22"/>
          <w:szCs w:val="22"/>
        </w:rPr>
        <w:t>extramedullary</w:t>
      </w:r>
      <w:proofErr w:type="spellEnd"/>
      <w:r w:rsidRPr="00C9399A">
        <w:rPr>
          <w:rFonts w:ascii="Century Schoolbook" w:hAnsi="Century Schoolbook"/>
          <w:bCs/>
          <w:sz w:val="22"/>
          <w:szCs w:val="22"/>
        </w:rPr>
        <w:t xml:space="preserve"> </w:t>
      </w:r>
      <w:proofErr w:type="spellStart"/>
      <w:r w:rsidRPr="00C9399A">
        <w:rPr>
          <w:rFonts w:ascii="Century Schoolbook" w:hAnsi="Century Schoolbook"/>
          <w:bCs/>
          <w:sz w:val="22"/>
          <w:szCs w:val="22"/>
        </w:rPr>
        <w:t>hematopoiesis</w:t>
      </w:r>
      <w:proofErr w:type="spellEnd"/>
      <w:r w:rsidRPr="00C9399A">
        <w:rPr>
          <w:rFonts w:ascii="Century Schoolbook" w:hAnsi="Century Schoolbook"/>
          <w:bCs/>
          <w:sz w:val="22"/>
          <w:szCs w:val="22"/>
        </w:rPr>
        <w:t xml:space="preserve">), stress, and hypo- and hyperthermia (reviewed by </w:t>
      </w:r>
      <w:proofErr w:type="spellStart"/>
      <w:r w:rsidRPr="00C9399A">
        <w:rPr>
          <w:rFonts w:ascii="Century Schoolbook" w:hAnsi="Century Schoolbook"/>
          <w:bCs/>
          <w:sz w:val="22"/>
          <w:szCs w:val="22"/>
        </w:rPr>
        <w:t>Tweats</w:t>
      </w:r>
      <w:proofErr w:type="spellEnd"/>
      <w:r w:rsidRPr="00C9399A">
        <w:rPr>
          <w:rFonts w:ascii="Century Schoolbook" w:hAnsi="Century Schoolbook"/>
          <w:bCs/>
          <w:sz w:val="22"/>
          <w:szCs w:val="22"/>
        </w:rPr>
        <w:t xml:space="preserve"> et al., 2007, I).  In blood, changes in spleen </w:t>
      </w:r>
      <w:proofErr w:type="gramStart"/>
      <w:r w:rsidRPr="00C9399A">
        <w:rPr>
          <w:rFonts w:ascii="Century Schoolbook" w:hAnsi="Century Schoolbook"/>
          <w:bCs/>
          <w:sz w:val="22"/>
          <w:szCs w:val="22"/>
        </w:rPr>
        <w:t>function</w:t>
      </w:r>
      <w:proofErr w:type="gramEnd"/>
      <w:r w:rsidRPr="00C9399A">
        <w:rPr>
          <w:rFonts w:ascii="Century Schoolbook" w:hAnsi="Century Schoolbook"/>
          <w:bCs/>
          <w:sz w:val="22"/>
          <w:szCs w:val="22"/>
        </w:rPr>
        <w:t xml:space="preserve"> that affect clearance of </w:t>
      </w:r>
      <w:proofErr w:type="spellStart"/>
      <w:r w:rsidRPr="00C9399A">
        <w:rPr>
          <w:rFonts w:ascii="Century Schoolbook" w:hAnsi="Century Schoolbook"/>
          <w:bCs/>
          <w:sz w:val="22"/>
          <w:szCs w:val="22"/>
        </w:rPr>
        <w:t>micronucleated</w:t>
      </w:r>
      <w:proofErr w:type="spellEnd"/>
      <w:r w:rsidRPr="00C9399A">
        <w:rPr>
          <w:rFonts w:ascii="Century Schoolbook" w:hAnsi="Century Schoolbook"/>
          <w:bCs/>
          <w:sz w:val="22"/>
          <w:szCs w:val="22"/>
        </w:rPr>
        <w:t xml:space="preserve"> cells from the blood could lead to small increases in circulating </w:t>
      </w:r>
      <w:proofErr w:type="spellStart"/>
      <w:r w:rsidRPr="00C9399A">
        <w:rPr>
          <w:rFonts w:ascii="Century Schoolbook" w:hAnsi="Century Schoolbook"/>
          <w:bCs/>
          <w:sz w:val="22"/>
          <w:szCs w:val="22"/>
        </w:rPr>
        <w:t>micronucleated</w:t>
      </w:r>
      <w:proofErr w:type="spellEnd"/>
      <w:r w:rsidRPr="00C9399A">
        <w:rPr>
          <w:rFonts w:ascii="Century Schoolbook" w:hAnsi="Century Schoolbook"/>
          <w:bCs/>
          <w:sz w:val="22"/>
          <w:szCs w:val="22"/>
        </w:rPr>
        <w:t xml:space="preserve"> red blood cells.</w:t>
      </w:r>
    </w:p>
    <w:p w:rsidR="00664629" w:rsidRDefault="001D26BE" w:rsidP="00664629">
      <w:pPr>
        <w:autoSpaceDE w:val="0"/>
        <w:autoSpaceDN w:val="0"/>
        <w:adjustRightInd w:val="0"/>
        <w:ind w:left="360" w:hanging="360"/>
        <w:textAlignment w:val="bottom"/>
        <w:rPr>
          <w:rFonts w:ascii="Century Schoolbook" w:hAnsi="Century Schoolbook"/>
          <w:kern w:val="0"/>
          <w:sz w:val="22"/>
          <w:szCs w:val="22"/>
        </w:rPr>
      </w:pPr>
      <w:r w:rsidRPr="00C9399A">
        <w:rPr>
          <w:rFonts w:ascii="Century Schoolbook" w:hAnsi="Century Schoolbook"/>
          <w:kern w:val="0"/>
          <w:sz w:val="22"/>
          <w:szCs w:val="22"/>
        </w:rPr>
        <w:t>16.</w:t>
      </w:r>
      <w:r w:rsidRPr="00C9399A">
        <w:rPr>
          <w:rFonts w:ascii="Century Schoolbook" w:hAnsi="Century Schoolbook"/>
          <w:kern w:val="0"/>
          <w:sz w:val="22"/>
          <w:szCs w:val="22"/>
        </w:rPr>
        <w:tab/>
        <w:t xml:space="preserve">Positive controls for either short-term or repeat dose </w:t>
      </w:r>
      <w:proofErr w:type="spellStart"/>
      <w:r w:rsidRPr="00C9399A">
        <w:rPr>
          <w:rFonts w:ascii="Century Schoolbook" w:hAnsi="Century Schoolbook"/>
          <w:kern w:val="0"/>
          <w:sz w:val="22"/>
          <w:szCs w:val="22"/>
        </w:rPr>
        <w:t>genotoxicity</w:t>
      </w:r>
      <w:proofErr w:type="spellEnd"/>
      <w:r w:rsidRPr="00C9399A">
        <w:rPr>
          <w:rFonts w:ascii="Century Schoolbook" w:hAnsi="Century Schoolbook"/>
          <w:kern w:val="0"/>
          <w:sz w:val="22"/>
          <w:szCs w:val="22"/>
        </w:rPr>
        <w:t xml:space="preserve"> studies: </w:t>
      </w:r>
    </w:p>
    <w:p w:rsidR="001D26BE" w:rsidRPr="00C9399A" w:rsidRDefault="001D26BE" w:rsidP="00664629">
      <w:pPr>
        <w:autoSpaceDE w:val="0"/>
        <w:autoSpaceDN w:val="0"/>
        <w:adjustRightInd w:val="0"/>
        <w:ind w:left="360"/>
        <w:textAlignment w:val="bottom"/>
        <w:rPr>
          <w:rFonts w:ascii="Century Schoolbook" w:hAnsi="Century Schoolbook"/>
          <w:sz w:val="22"/>
          <w:szCs w:val="22"/>
        </w:rPr>
      </w:pPr>
      <w:r w:rsidRPr="00C9399A">
        <w:rPr>
          <w:rFonts w:ascii="Century Schoolbook" w:hAnsi="Century Schoolbook"/>
          <w:kern w:val="0"/>
          <w:sz w:val="22"/>
          <w:szCs w:val="22"/>
        </w:rPr>
        <w:t xml:space="preserve">For micronucleus (and other cytogenetic) assays, the purpose of the positive control is to verify that the individuals scoring the slides can reliably detect increases in micronuclei.  This can be accomplished by use of samples from periodic studies (every few months) of small </w:t>
      </w:r>
      <w:r w:rsidRPr="00C9399A">
        <w:rPr>
          <w:rFonts w:ascii="Century Schoolbook" w:hAnsi="Century Schoolbook"/>
          <w:sz w:val="22"/>
          <w:szCs w:val="22"/>
        </w:rPr>
        <w:t xml:space="preserve">groups of animals (one sex) given acute treatment with a </w:t>
      </w:r>
      <w:r w:rsidRPr="00C9399A">
        <w:rPr>
          <w:rFonts w:ascii="Century Schoolbook" w:hAnsi="Century Schoolbook"/>
          <w:sz w:val="22"/>
          <w:szCs w:val="22"/>
        </w:rPr>
        <w:lastRenderedPageBreak/>
        <w:t>positive control.  For manual scoring such slides can be included in coded slides scored from each study.</w:t>
      </w:r>
      <w:r w:rsidR="002A5938">
        <w:rPr>
          <w:rFonts w:ascii="Century Schoolbook" w:hAnsi="Century Schoolbook"/>
          <w:sz w:val="22"/>
          <w:szCs w:val="22"/>
        </w:rPr>
        <w:t xml:space="preserve"> </w:t>
      </w:r>
      <w:r w:rsidRPr="00C9399A">
        <w:rPr>
          <w:rFonts w:ascii="Century Schoolbook" w:hAnsi="Century Schoolbook"/>
          <w:sz w:val="22"/>
          <w:szCs w:val="22"/>
        </w:rPr>
        <w:t xml:space="preserve"> Positive control slides should not be obvious to readers based on their staining properties or micronucleus frequency.  For automated scoring, appropriate quality control samples should be used with each assay.</w:t>
      </w:r>
    </w:p>
    <w:p w:rsidR="001D26BE" w:rsidRPr="00C9399A" w:rsidRDefault="001D26BE" w:rsidP="004235DD">
      <w:pPr>
        <w:autoSpaceDE w:val="0"/>
        <w:autoSpaceDN w:val="0"/>
        <w:adjustRightInd w:val="0"/>
        <w:spacing w:after="120"/>
        <w:ind w:left="360"/>
        <w:textAlignment w:val="bottom"/>
        <w:rPr>
          <w:rFonts w:ascii="Century Schoolbook" w:hAnsi="Century Schoolbook"/>
          <w:sz w:val="22"/>
          <w:szCs w:val="22"/>
        </w:rPr>
      </w:pPr>
      <w:r w:rsidRPr="00C9399A">
        <w:rPr>
          <w:rFonts w:ascii="Century Schoolbook" w:hAnsi="Century Schoolbook"/>
          <w:sz w:val="22"/>
          <w:szCs w:val="22"/>
        </w:rPr>
        <w:t xml:space="preserve">For other </w:t>
      </w:r>
      <w:r w:rsidRPr="00C9399A">
        <w:rPr>
          <w:rFonts w:ascii="Century Schoolbook" w:hAnsi="Century Schoolbook"/>
          <w:i/>
          <w:sz w:val="22"/>
          <w:szCs w:val="22"/>
        </w:rPr>
        <w:t>in vivo</w:t>
      </w:r>
      <w:r w:rsidRPr="00C9399A">
        <w:rPr>
          <w:rFonts w:ascii="Century Schoolbook" w:hAnsi="Century Schoolbook"/>
          <w:sz w:val="22"/>
          <w:szCs w:val="22"/>
        </w:rPr>
        <w:t xml:space="preserve"> </w:t>
      </w:r>
      <w:proofErr w:type="spellStart"/>
      <w:r w:rsidRPr="00C9399A">
        <w:rPr>
          <w:rFonts w:ascii="Century Schoolbook" w:hAnsi="Century Schoolbook"/>
          <w:sz w:val="22"/>
          <w:szCs w:val="22"/>
        </w:rPr>
        <w:t>genotoxicity</w:t>
      </w:r>
      <w:proofErr w:type="spellEnd"/>
      <w:r w:rsidRPr="00C9399A">
        <w:rPr>
          <w:rFonts w:ascii="Century Schoolbook" w:hAnsi="Century Schoolbook"/>
          <w:sz w:val="22"/>
          <w:szCs w:val="22"/>
        </w:rPr>
        <w:t xml:space="preserve"> assays, the purpose of positive controls is to demonstrate reliable detection of an increase in DNA damage/</w:t>
      </w:r>
      <w:proofErr w:type="spellStart"/>
      <w:r w:rsidRPr="00C9399A">
        <w:rPr>
          <w:rFonts w:ascii="Century Schoolbook" w:hAnsi="Century Schoolbook"/>
          <w:sz w:val="22"/>
          <w:szCs w:val="22"/>
        </w:rPr>
        <w:t>mutagenicity</w:t>
      </w:r>
      <w:proofErr w:type="spellEnd"/>
      <w:r w:rsidRPr="00C9399A">
        <w:rPr>
          <w:rFonts w:ascii="Century Schoolbook" w:hAnsi="Century Schoolbook"/>
          <w:sz w:val="22"/>
          <w:szCs w:val="22"/>
        </w:rPr>
        <w:t xml:space="preserve"> using the assay in the chosen species, tissue and protocol.  After a laboratory has demonstrated that it can consistently detect appropriate positive control compounds in multiple independent experiments, carrying out positive control experiments periodically is generally sufficient provided experimental conditions are not changed.  However, currently it is considered that for the Comet assay concurrent positive controls are advisable.</w:t>
      </w:r>
    </w:p>
    <w:p w:rsidR="001D26BE" w:rsidRPr="00C9399A" w:rsidRDefault="001D26BE" w:rsidP="004235DD">
      <w:pPr>
        <w:autoSpaceDE w:val="0"/>
        <w:autoSpaceDN w:val="0"/>
        <w:adjustRightInd w:val="0"/>
        <w:spacing w:after="120"/>
        <w:ind w:left="360" w:hanging="360"/>
        <w:textAlignment w:val="bottom"/>
        <w:rPr>
          <w:rFonts w:ascii="Century Schoolbook" w:hAnsi="Century Schoolbook"/>
          <w:iCs/>
          <w:kern w:val="0"/>
          <w:sz w:val="22"/>
          <w:szCs w:val="22"/>
        </w:rPr>
      </w:pPr>
      <w:r w:rsidRPr="00C9399A">
        <w:rPr>
          <w:rFonts w:ascii="Century Schoolbook" w:hAnsi="Century Schoolbook"/>
          <w:bCs/>
          <w:kern w:val="0"/>
          <w:sz w:val="22"/>
          <w:szCs w:val="22"/>
        </w:rPr>
        <w:t>17.</w:t>
      </w:r>
      <w:r w:rsidRPr="00C9399A">
        <w:rPr>
          <w:rFonts w:ascii="Century Schoolbook" w:hAnsi="Century Schoolbook"/>
          <w:bCs/>
          <w:kern w:val="0"/>
          <w:sz w:val="22"/>
          <w:szCs w:val="22"/>
        </w:rPr>
        <w:tab/>
        <w:t xml:space="preserve">Determination of whether micronucleus induction is due primarily to chromosome loss or to chromosome breakage </w:t>
      </w:r>
      <w:r w:rsidRPr="00C9399A">
        <w:rPr>
          <w:rFonts w:ascii="Century Schoolbook" w:hAnsi="Century Schoolbook"/>
          <w:iCs/>
          <w:kern w:val="0"/>
          <w:sz w:val="22"/>
          <w:szCs w:val="22"/>
        </w:rPr>
        <w:t xml:space="preserve">could include staining micronuclei </w:t>
      </w:r>
      <w:r w:rsidRPr="00C9399A">
        <w:rPr>
          <w:rFonts w:ascii="Century Schoolbook" w:hAnsi="Century Schoolbook"/>
          <w:i/>
          <w:iCs/>
          <w:kern w:val="0"/>
          <w:sz w:val="22"/>
          <w:szCs w:val="22"/>
        </w:rPr>
        <w:t>in vitro</w:t>
      </w:r>
      <w:r w:rsidRPr="00C9399A">
        <w:rPr>
          <w:rFonts w:ascii="Century Schoolbook" w:hAnsi="Century Schoolbook"/>
          <w:iCs/>
          <w:kern w:val="0"/>
          <w:sz w:val="22"/>
          <w:szCs w:val="22"/>
        </w:rPr>
        <w:t xml:space="preserve"> or </w:t>
      </w:r>
      <w:r w:rsidRPr="00C9399A">
        <w:rPr>
          <w:rFonts w:ascii="Century Schoolbook" w:hAnsi="Century Schoolbook"/>
          <w:i/>
          <w:iCs/>
          <w:kern w:val="0"/>
          <w:sz w:val="22"/>
          <w:szCs w:val="22"/>
        </w:rPr>
        <w:t>in vivo</w:t>
      </w:r>
      <w:r w:rsidRPr="00C9399A">
        <w:rPr>
          <w:rFonts w:ascii="Century Schoolbook" w:hAnsi="Century Schoolbook"/>
          <w:iCs/>
          <w:kern w:val="0"/>
          <w:sz w:val="22"/>
          <w:szCs w:val="22"/>
        </w:rPr>
        <w:t xml:space="preserve"> to determine whether </w:t>
      </w:r>
      <w:proofErr w:type="spellStart"/>
      <w:r w:rsidRPr="00C9399A">
        <w:rPr>
          <w:rFonts w:ascii="Century Schoolbook" w:hAnsi="Century Schoolbook"/>
          <w:iCs/>
          <w:kern w:val="0"/>
          <w:sz w:val="22"/>
          <w:szCs w:val="22"/>
        </w:rPr>
        <w:t>centromeres</w:t>
      </w:r>
      <w:proofErr w:type="spellEnd"/>
      <w:r w:rsidRPr="00C9399A">
        <w:rPr>
          <w:rFonts w:ascii="Century Schoolbook" w:hAnsi="Century Schoolbook"/>
          <w:iCs/>
          <w:kern w:val="0"/>
          <w:sz w:val="22"/>
          <w:szCs w:val="22"/>
        </w:rPr>
        <w:t xml:space="preserve"> are present, e.g., using </w:t>
      </w:r>
      <w:r w:rsidR="008427A7">
        <w:rPr>
          <w:rFonts w:ascii="Century Schoolbook" w:hAnsi="Century Schoolbook"/>
          <w:iCs/>
          <w:kern w:val="0"/>
          <w:sz w:val="22"/>
          <w:szCs w:val="22"/>
        </w:rPr>
        <w:t>F</w:t>
      </w:r>
      <w:r w:rsidRPr="00C9399A">
        <w:rPr>
          <w:rFonts w:ascii="Century Schoolbook" w:hAnsi="Century Schoolbook"/>
          <w:iCs/>
          <w:kern w:val="0"/>
          <w:sz w:val="22"/>
          <w:szCs w:val="22"/>
        </w:rPr>
        <w:t xml:space="preserve">luorescent </w:t>
      </w:r>
      <w:r w:rsidR="00DB33C4" w:rsidRPr="00DB33C4">
        <w:rPr>
          <w:rFonts w:ascii="Century Schoolbook" w:hAnsi="Century Schoolbook"/>
          <w:i/>
          <w:iCs/>
          <w:kern w:val="0"/>
          <w:sz w:val="22"/>
          <w:szCs w:val="22"/>
        </w:rPr>
        <w:t>in situ</w:t>
      </w:r>
      <w:r w:rsidRPr="00C9399A">
        <w:rPr>
          <w:rFonts w:ascii="Century Schoolbook" w:hAnsi="Century Schoolbook"/>
          <w:iCs/>
          <w:kern w:val="0"/>
          <w:sz w:val="22"/>
          <w:szCs w:val="22"/>
        </w:rPr>
        <w:t xml:space="preserve"> </w:t>
      </w:r>
      <w:r w:rsidR="008427A7">
        <w:rPr>
          <w:rFonts w:ascii="Century Schoolbook" w:hAnsi="Century Schoolbook"/>
          <w:iCs/>
          <w:kern w:val="0"/>
          <w:sz w:val="22"/>
          <w:szCs w:val="22"/>
        </w:rPr>
        <w:t>H</w:t>
      </w:r>
      <w:r w:rsidRPr="00C9399A">
        <w:rPr>
          <w:rFonts w:ascii="Century Schoolbook" w:hAnsi="Century Schoolbook"/>
          <w:iCs/>
          <w:kern w:val="0"/>
          <w:sz w:val="22"/>
          <w:szCs w:val="22"/>
        </w:rPr>
        <w:t xml:space="preserve">ybridization (FISH) with probes for DNA sequences in the </w:t>
      </w:r>
      <w:proofErr w:type="spellStart"/>
      <w:r w:rsidRPr="00C9399A">
        <w:rPr>
          <w:rFonts w:ascii="Century Schoolbook" w:hAnsi="Century Schoolbook"/>
          <w:iCs/>
          <w:kern w:val="0"/>
          <w:sz w:val="22"/>
          <w:szCs w:val="22"/>
        </w:rPr>
        <w:t>centromeric</w:t>
      </w:r>
      <w:proofErr w:type="spellEnd"/>
      <w:r w:rsidRPr="00C9399A">
        <w:rPr>
          <w:rFonts w:ascii="Century Schoolbook" w:hAnsi="Century Schoolbook"/>
          <w:iCs/>
          <w:kern w:val="0"/>
          <w:sz w:val="22"/>
          <w:szCs w:val="22"/>
        </w:rPr>
        <w:t xml:space="preserve"> region, or a labeled antibody to </w:t>
      </w:r>
      <w:proofErr w:type="spellStart"/>
      <w:r w:rsidRPr="00C9399A">
        <w:rPr>
          <w:rFonts w:ascii="Century Schoolbook" w:hAnsi="Century Schoolbook"/>
          <w:iCs/>
          <w:kern w:val="0"/>
          <w:sz w:val="22"/>
          <w:szCs w:val="22"/>
        </w:rPr>
        <w:t>kinetochore</w:t>
      </w:r>
      <w:proofErr w:type="spellEnd"/>
      <w:r w:rsidRPr="00C9399A">
        <w:rPr>
          <w:rFonts w:ascii="Century Schoolbook" w:hAnsi="Century Schoolbook"/>
          <w:iCs/>
          <w:kern w:val="0"/>
          <w:sz w:val="22"/>
          <w:szCs w:val="22"/>
        </w:rPr>
        <w:t xml:space="preserve"> proteins.  If the majority of induced micronuclei are </w:t>
      </w:r>
      <w:proofErr w:type="spellStart"/>
      <w:r w:rsidRPr="00C9399A">
        <w:rPr>
          <w:rFonts w:ascii="Century Schoolbook" w:hAnsi="Century Schoolbook"/>
          <w:iCs/>
          <w:kern w:val="0"/>
          <w:sz w:val="22"/>
          <w:szCs w:val="22"/>
        </w:rPr>
        <w:t>centromere</w:t>
      </w:r>
      <w:proofErr w:type="spellEnd"/>
      <w:r w:rsidRPr="00C9399A">
        <w:rPr>
          <w:rFonts w:ascii="Century Schoolbook" w:hAnsi="Century Schoolbook"/>
          <w:iCs/>
          <w:kern w:val="0"/>
          <w:sz w:val="22"/>
          <w:szCs w:val="22"/>
        </w:rPr>
        <w:t xml:space="preserve"> positive, this suggests chromosome loss.  (Note that even potent tubule poisons like </w:t>
      </w:r>
      <w:proofErr w:type="spellStart"/>
      <w:r w:rsidRPr="00C9399A">
        <w:rPr>
          <w:rFonts w:ascii="Century Schoolbook" w:hAnsi="Century Schoolbook"/>
          <w:iCs/>
          <w:kern w:val="0"/>
          <w:sz w:val="22"/>
          <w:szCs w:val="22"/>
        </w:rPr>
        <w:t>colchicine</w:t>
      </w:r>
      <w:proofErr w:type="spellEnd"/>
      <w:r w:rsidRPr="00C9399A">
        <w:rPr>
          <w:rFonts w:ascii="Century Schoolbook" w:hAnsi="Century Schoolbook"/>
          <w:iCs/>
          <w:kern w:val="0"/>
          <w:sz w:val="22"/>
          <w:szCs w:val="22"/>
        </w:rPr>
        <w:t xml:space="preserve"> and </w:t>
      </w:r>
      <w:proofErr w:type="spellStart"/>
      <w:r w:rsidRPr="00C9399A">
        <w:rPr>
          <w:rFonts w:ascii="Century Schoolbook" w:hAnsi="Century Schoolbook"/>
          <w:iCs/>
          <w:kern w:val="0"/>
          <w:sz w:val="22"/>
          <w:szCs w:val="22"/>
        </w:rPr>
        <w:t>vinblastine</w:t>
      </w:r>
      <w:proofErr w:type="spellEnd"/>
      <w:r w:rsidRPr="00C9399A">
        <w:rPr>
          <w:rFonts w:ascii="Century Schoolbook" w:hAnsi="Century Schoolbook"/>
          <w:iCs/>
          <w:kern w:val="0"/>
          <w:sz w:val="22"/>
          <w:szCs w:val="22"/>
        </w:rPr>
        <w:t xml:space="preserve"> do not produce 100% </w:t>
      </w:r>
      <w:proofErr w:type="spellStart"/>
      <w:r w:rsidRPr="00C9399A">
        <w:rPr>
          <w:rFonts w:ascii="Century Schoolbook" w:hAnsi="Century Schoolbook"/>
          <w:iCs/>
          <w:kern w:val="0"/>
          <w:sz w:val="22"/>
          <w:szCs w:val="22"/>
        </w:rPr>
        <w:t>kinetochore</w:t>
      </w:r>
      <w:proofErr w:type="spellEnd"/>
      <w:r w:rsidRPr="00C9399A">
        <w:rPr>
          <w:rFonts w:ascii="Century Schoolbook" w:hAnsi="Century Schoolbook"/>
          <w:iCs/>
          <w:kern w:val="0"/>
          <w:sz w:val="22"/>
          <w:szCs w:val="22"/>
        </w:rPr>
        <w:t xml:space="preserve"> positive micronuclei, but more typically 70 to 80%, and are accepted as primarily </w:t>
      </w:r>
      <w:proofErr w:type="spellStart"/>
      <w:r w:rsidRPr="00C9399A">
        <w:rPr>
          <w:rFonts w:ascii="Century Schoolbook" w:hAnsi="Century Schoolbook"/>
          <w:iCs/>
          <w:kern w:val="0"/>
          <w:sz w:val="22"/>
          <w:szCs w:val="22"/>
        </w:rPr>
        <w:t>aneugens</w:t>
      </w:r>
      <w:proofErr w:type="spellEnd"/>
      <w:r w:rsidRPr="00C9399A">
        <w:rPr>
          <w:rFonts w:ascii="Century Schoolbook" w:hAnsi="Century Schoolbook"/>
          <w:iCs/>
          <w:kern w:val="0"/>
          <w:sz w:val="22"/>
          <w:szCs w:val="22"/>
        </w:rPr>
        <w:t xml:space="preserve"> for assessing risk).  An alternative approach is to carry out an </w:t>
      </w:r>
      <w:r w:rsidRPr="00C9399A">
        <w:rPr>
          <w:rFonts w:ascii="Century Schoolbook" w:hAnsi="Century Schoolbook"/>
          <w:i/>
          <w:iCs/>
          <w:kern w:val="0"/>
          <w:sz w:val="22"/>
          <w:szCs w:val="22"/>
        </w:rPr>
        <w:t>in vitro</w:t>
      </w:r>
      <w:r w:rsidRPr="00C9399A">
        <w:rPr>
          <w:rFonts w:ascii="Century Schoolbook" w:hAnsi="Century Schoolbook"/>
          <w:iCs/>
          <w:kern w:val="0"/>
          <w:sz w:val="22"/>
          <w:szCs w:val="22"/>
        </w:rPr>
        <w:t xml:space="preserve"> or </w:t>
      </w:r>
      <w:r w:rsidRPr="00C9399A">
        <w:rPr>
          <w:rFonts w:ascii="Century Schoolbook" w:hAnsi="Century Schoolbook"/>
          <w:i/>
          <w:iCs/>
          <w:kern w:val="0"/>
          <w:sz w:val="22"/>
          <w:szCs w:val="22"/>
        </w:rPr>
        <w:t>in vivo</w:t>
      </w:r>
      <w:r w:rsidRPr="00C9399A">
        <w:rPr>
          <w:rFonts w:ascii="Century Schoolbook" w:hAnsi="Century Schoolbook"/>
          <w:iCs/>
          <w:kern w:val="0"/>
          <w:sz w:val="22"/>
          <w:szCs w:val="22"/>
        </w:rPr>
        <w:t xml:space="preserve"> assay for metaphase structural aberrations; if negative this would imply that micronucleus induction is related to chromosome loss.</w:t>
      </w:r>
    </w:p>
    <w:p w:rsidR="00766091" w:rsidRDefault="001D26BE" w:rsidP="003C4429">
      <w:pPr>
        <w:autoSpaceDE w:val="0"/>
        <w:autoSpaceDN w:val="0"/>
        <w:adjustRightInd w:val="0"/>
        <w:spacing w:after="120"/>
        <w:ind w:left="360" w:hanging="360"/>
        <w:textAlignment w:val="bottom"/>
        <w:rPr>
          <w:rFonts w:ascii="Century Schoolbook" w:hAnsi="Century Schoolbook"/>
          <w:kern w:val="0"/>
          <w:sz w:val="22"/>
          <w:szCs w:val="22"/>
        </w:rPr>
      </w:pPr>
      <w:r w:rsidRPr="00C9399A">
        <w:rPr>
          <w:rFonts w:ascii="Century Schoolbook" w:hAnsi="Century Schoolbook"/>
          <w:kern w:val="0"/>
          <w:sz w:val="22"/>
          <w:szCs w:val="22"/>
        </w:rPr>
        <w:t>18.</w:t>
      </w:r>
      <w:r w:rsidRPr="00C9399A">
        <w:rPr>
          <w:rFonts w:ascii="Century Schoolbook" w:hAnsi="Century Schoolbook"/>
          <w:kern w:val="0"/>
          <w:sz w:val="22"/>
          <w:szCs w:val="22"/>
        </w:rPr>
        <w:tab/>
        <w:t xml:space="preserve">Standard induced S9 mix has higher activation capacity than human S9, and lacks phase two detoxification capability unless specific cofactors are supplied.  Also, non-specific activation can occur </w:t>
      </w:r>
      <w:r w:rsidRPr="00C9399A">
        <w:rPr>
          <w:rFonts w:ascii="Century Schoolbook" w:hAnsi="Century Schoolbook"/>
          <w:i/>
          <w:kern w:val="0"/>
          <w:sz w:val="22"/>
          <w:szCs w:val="22"/>
        </w:rPr>
        <w:t>in vitro</w:t>
      </w:r>
      <w:r w:rsidRPr="00C9399A">
        <w:rPr>
          <w:rFonts w:ascii="Century Schoolbook" w:hAnsi="Century Schoolbook"/>
          <w:kern w:val="0"/>
          <w:sz w:val="22"/>
          <w:szCs w:val="22"/>
        </w:rPr>
        <w:t xml:space="preserve"> with high test substrate concentrations (see Kirkland et al., 2007).  </w:t>
      </w:r>
      <w:proofErr w:type="spellStart"/>
      <w:r w:rsidRPr="00C9399A">
        <w:rPr>
          <w:rFonts w:ascii="Century Schoolbook" w:hAnsi="Century Schoolbook"/>
          <w:kern w:val="0"/>
          <w:sz w:val="22"/>
          <w:szCs w:val="22"/>
        </w:rPr>
        <w:t>Genotoxicity</w:t>
      </w:r>
      <w:proofErr w:type="spellEnd"/>
      <w:r w:rsidRPr="00C9399A">
        <w:rPr>
          <w:rFonts w:ascii="Century Schoolbook" w:hAnsi="Century Schoolbook"/>
          <w:kern w:val="0"/>
          <w:sz w:val="22"/>
          <w:szCs w:val="22"/>
        </w:rPr>
        <w:t xml:space="preserve"> testing with human S9 or other human-relevant activation systems can be helpful.  Analysis of the metabolite profile in the </w:t>
      </w:r>
      <w:proofErr w:type="spellStart"/>
      <w:r w:rsidRPr="00C9399A">
        <w:rPr>
          <w:rFonts w:ascii="Century Schoolbook" w:hAnsi="Century Schoolbook"/>
          <w:kern w:val="0"/>
          <w:sz w:val="22"/>
          <w:szCs w:val="22"/>
        </w:rPr>
        <w:t>genotoxicity</w:t>
      </w:r>
      <w:proofErr w:type="spellEnd"/>
      <w:r w:rsidRPr="00C9399A">
        <w:rPr>
          <w:rFonts w:ascii="Century Schoolbook" w:hAnsi="Century Schoolbook"/>
          <w:kern w:val="0"/>
          <w:sz w:val="22"/>
          <w:szCs w:val="22"/>
        </w:rPr>
        <w:t xml:space="preserve"> test incubations for comparison with known metabolite profiles in preclinical species (in </w:t>
      </w:r>
      <w:proofErr w:type="spellStart"/>
      <w:r w:rsidRPr="00C9399A">
        <w:rPr>
          <w:rFonts w:ascii="Century Schoolbook" w:hAnsi="Century Schoolbook"/>
          <w:kern w:val="0"/>
          <w:sz w:val="22"/>
          <w:szCs w:val="22"/>
        </w:rPr>
        <w:t>uninduced</w:t>
      </w:r>
      <w:proofErr w:type="spellEnd"/>
      <w:r w:rsidRPr="00C9399A">
        <w:rPr>
          <w:rFonts w:ascii="Century Schoolbook" w:hAnsi="Century Schoolbook"/>
          <w:kern w:val="0"/>
          <w:sz w:val="22"/>
          <w:szCs w:val="22"/>
        </w:rPr>
        <w:t xml:space="preserve"> </w:t>
      </w:r>
      <w:proofErr w:type="spellStart"/>
      <w:r w:rsidRPr="00C9399A">
        <w:rPr>
          <w:rFonts w:ascii="Century Schoolbook" w:hAnsi="Century Schoolbook"/>
          <w:kern w:val="0"/>
          <w:sz w:val="22"/>
          <w:szCs w:val="22"/>
        </w:rPr>
        <w:t>microsomes</w:t>
      </w:r>
      <w:proofErr w:type="spellEnd"/>
      <w:r w:rsidRPr="00C9399A">
        <w:rPr>
          <w:rFonts w:ascii="Century Schoolbook" w:hAnsi="Century Schoolbook"/>
          <w:kern w:val="0"/>
          <w:sz w:val="22"/>
          <w:szCs w:val="22"/>
        </w:rPr>
        <w:t xml:space="preserve"> or </w:t>
      </w:r>
      <w:proofErr w:type="spellStart"/>
      <w:r w:rsidRPr="00C9399A">
        <w:rPr>
          <w:rFonts w:ascii="Century Schoolbook" w:hAnsi="Century Schoolbook"/>
          <w:kern w:val="0"/>
          <w:sz w:val="22"/>
          <w:szCs w:val="22"/>
        </w:rPr>
        <w:t>hepatocytes</w:t>
      </w:r>
      <w:proofErr w:type="spellEnd"/>
      <w:r w:rsidRPr="00C9399A">
        <w:rPr>
          <w:rFonts w:ascii="Century Schoolbook" w:hAnsi="Century Schoolbook"/>
          <w:kern w:val="0"/>
          <w:sz w:val="22"/>
          <w:szCs w:val="22"/>
        </w:rPr>
        <w:t xml:space="preserve">, or </w:t>
      </w:r>
      <w:r w:rsidRPr="00C9399A">
        <w:rPr>
          <w:rFonts w:ascii="Century Schoolbook" w:hAnsi="Century Schoolbook"/>
          <w:i/>
          <w:kern w:val="0"/>
          <w:sz w:val="22"/>
          <w:szCs w:val="22"/>
        </w:rPr>
        <w:t>in vivo</w:t>
      </w:r>
      <w:r w:rsidRPr="00C9399A">
        <w:rPr>
          <w:rFonts w:ascii="Century Schoolbook" w:hAnsi="Century Schoolbook"/>
          <w:kern w:val="0"/>
          <w:sz w:val="22"/>
          <w:szCs w:val="22"/>
        </w:rPr>
        <w:t>) or in preparations from humans can</w:t>
      </w:r>
      <w:r w:rsidRPr="00C9399A">
        <w:rPr>
          <w:rFonts w:ascii="Century Schoolbook" w:hAnsi="Century Schoolbook"/>
          <w:i/>
          <w:kern w:val="0"/>
          <w:sz w:val="22"/>
          <w:szCs w:val="22"/>
        </w:rPr>
        <w:t xml:space="preserve"> </w:t>
      </w:r>
      <w:r w:rsidRPr="00C9399A">
        <w:rPr>
          <w:rFonts w:ascii="Century Schoolbook" w:hAnsi="Century Schoolbook"/>
          <w:kern w:val="0"/>
          <w:sz w:val="22"/>
          <w:szCs w:val="22"/>
        </w:rPr>
        <w:t xml:space="preserve">also help determine the relevance of test results (Ku et al., 2007), and follow-up studies will usually focus on </w:t>
      </w:r>
      <w:r w:rsidRPr="00C9399A">
        <w:rPr>
          <w:rFonts w:ascii="Century Schoolbook" w:hAnsi="Century Schoolbook"/>
          <w:i/>
          <w:kern w:val="0"/>
          <w:sz w:val="22"/>
          <w:szCs w:val="22"/>
        </w:rPr>
        <w:t>in vivo</w:t>
      </w:r>
      <w:r w:rsidRPr="00C9399A">
        <w:rPr>
          <w:rFonts w:ascii="Century Schoolbook" w:hAnsi="Century Schoolbook"/>
          <w:kern w:val="0"/>
          <w:sz w:val="22"/>
          <w:szCs w:val="22"/>
        </w:rPr>
        <w:t xml:space="preserve"> testing in liver.  A compound that gives positive results </w:t>
      </w:r>
      <w:r w:rsidRPr="00C9399A">
        <w:rPr>
          <w:rFonts w:ascii="Century Schoolbook" w:hAnsi="Century Schoolbook"/>
          <w:i/>
          <w:kern w:val="0"/>
          <w:sz w:val="22"/>
          <w:szCs w:val="22"/>
        </w:rPr>
        <w:t>in vitro</w:t>
      </w:r>
      <w:r w:rsidRPr="00C9399A">
        <w:rPr>
          <w:rFonts w:ascii="Century Schoolbook" w:hAnsi="Century Schoolbook"/>
          <w:kern w:val="0"/>
          <w:sz w:val="22"/>
          <w:szCs w:val="22"/>
        </w:rPr>
        <w:t xml:space="preserve"> with S9 might not induce </w:t>
      </w:r>
      <w:proofErr w:type="spellStart"/>
      <w:r w:rsidRPr="00C9399A">
        <w:rPr>
          <w:rFonts w:ascii="Century Schoolbook" w:hAnsi="Century Schoolbook"/>
          <w:kern w:val="0"/>
          <w:sz w:val="22"/>
          <w:szCs w:val="22"/>
        </w:rPr>
        <w:t>genotoxicity</w:t>
      </w:r>
      <w:proofErr w:type="spellEnd"/>
      <w:r w:rsidRPr="00C9399A">
        <w:rPr>
          <w:rFonts w:ascii="Century Schoolbook" w:hAnsi="Century Schoolbook"/>
          <w:kern w:val="0"/>
          <w:sz w:val="22"/>
          <w:szCs w:val="22"/>
        </w:rPr>
        <w:t xml:space="preserve"> </w:t>
      </w:r>
      <w:r w:rsidRPr="00C9399A">
        <w:rPr>
          <w:rFonts w:ascii="Century Schoolbook" w:hAnsi="Century Schoolbook"/>
          <w:i/>
          <w:kern w:val="0"/>
          <w:sz w:val="22"/>
          <w:szCs w:val="22"/>
        </w:rPr>
        <w:t>in vivo</w:t>
      </w:r>
      <w:r w:rsidRPr="00C9399A">
        <w:rPr>
          <w:rFonts w:ascii="Century Schoolbook" w:hAnsi="Century Schoolbook"/>
          <w:kern w:val="0"/>
          <w:sz w:val="22"/>
          <w:szCs w:val="22"/>
        </w:rPr>
        <w:t xml:space="preserve"> because the metabolite is not formed, is formed in very small quantities, or is metabolically detoxified or rapidly excreted, indicating a lack of risk </w:t>
      </w:r>
      <w:r w:rsidRPr="00C9399A">
        <w:rPr>
          <w:rFonts w:ascii="Century Schoolbook" w:hAnsi="Century Schoolbook"/>
          <w:i/>
          <w:kern w:val="0"/>
          <w:sz w:val="22"/>
          <w:szCs w:val="22"/>
        </w:rPr>
        <w:t>in vivo</w:t>
      </w:r>
      <w:r w:rsidRPr="00C9399A">
        <w:rPr>
          <w:rFonts w:ascii="Century Schoolbook" w:hAnsi="Century Schoolbook"/>
          <w:kern w:val="0"/>
          <w:sz w:val="22"/>
          <w:szCs w:val="22"/>
        </w:rPr>
        <w:t>.</w:t>
      </w:r>
    </w:p>
    <w:p w:rsidR="001D26BE" w:rsidRPr="00766091" w:rsidRDefault="003C4429" w:rsidP="00766091">
      <w:pPr>
        <w:pStyle w:val="Heading1"/>
        <w:numPr>
          <w:ilvl w:val="0"/>
          <w:numId w:val="37"/>
        </w:numPr>
        <w:spacing w:after="180"/>
        <w:ind w:left="720" w:hanging="720"/>
        <w:rPr>
          <w:rFonts w:ascii="Century Schoolbook" w:hAnsi="Century Schoolbook"/>
          <w:smallCaps/>
          <w:kern w:val="0"/>
          <w:sz w:val="22"/>
          <w:szCs w:val="22"/>
        </w:rPr>
      </w:pPr>
      <w:r>
        <w:rPr>
          <w:rFonts w:ascii="Century Schoolbook" w:hAnsi="Century Schoolbook"/>
          <w:kern w:val="0"/>
          <w:sz w:val="22"/>
          <w:szCs w:val="22"/>
        </w:rPr>
        <w:br w:type="page"/>
      </w:r>
      <w:bookmarkStart w:id="110" w:name="_Toc309835314"/>
      <w:r w:rsidR="000B3C1E" w:rsidRPr="00766091">
        <w:rPr>
          <w:rFonts w:ascii="Century Schoolbook" w:hAnsi="Century Schoolbook"/>
          <w:smallCaps/>
          <w:kern w:val="0"/>
          <w:sz w:val="22"/>
          <w:szCs w:val="22"/>
        </w:rPr>
        <w:lastRenderedPageBreak/>
        <w:t>Glossary</w:t>
      </w:r>
      <w:bookmarkEnd w:id="110"/>
    </w:p>
    <w:p w:rsidR="00B71D08" w:rsidRPr="00B71D08" w:rsidRDefault="001D26BE" w:rsidP="00B71D08">
      <w:pPr>
        <w:autoSpaceDE w:val="0"/>
        <w:autoSpaceDN w:val="0"/>
        <w:adjustRightInd w:val="0"/>
        <w:spacing w:before="120" w:after="40"/>
        <w:textAlignment w:val="bottom"/>
        <w:rPr>
          <w:rFonts w:ascii="Century Schoolbook" w:hAnsi="Century Schoolbook"/>
          <w:iCs/>
          <w:kern w:val="0"/>
          <w:sz w:val="22"/>
          <w:szCs w:val="22"/>
        </w:rPr>
      </w:pPr>
      <w:r w:rsidRPr="00B71D08">
        <w:rPr>
          <w:rFonts w:ascii="Century Schoolbook" w:hAnsi="Century Schoolbook"/>
          <w:b/>
          <w:iCs/>
          <w:kern w:val="0"/>
          <w:sz w:val="22"/>
          <w:szCs w:val="22"/>
        </w:rPr>
        <w:t>Alkaline elution assay:</w:t>
      </w:r>
      <w:r w:rsidRPr="00B71D08">
        <w:rPr>
          <w:rFonts w:ascii="Century Schoolbook" w:hAnsi="Century Schoolbook"/>
          <w:iCs/>
          <w:kern w:val="0"/>
          <w:sz w:val="22"/>
          <w:szCs w:val="22"/>
        </w:rPr>
        <w:t xml:space="preserve"> </w:t>
      </w:r>
    </w:p>
    <w:p w:rsidR="001D26BE" w:rsidRPr="00C9399A" w:rsidRDefault="00B71D08" w:rsidP="004A62F4">
      <w:pPr>
        <w:autoSpaceDE w:val="0"/>
        <w:autoSpaceDN w:val="0"/>
        <w:adjustRightInd w:val="0"/>
        <w:spacing w:after="120"/>
        <w:textAlignment w:val="bottom"/>
        <w:rPr>
          <w:rFonts w:ascii="Century Schoolbook" w:hAnsi="Century Schoolbook"/>
          <w:i/>
          <w:iCs/>
          <w:kern w:val="0"/>
          <w:sz w:val="22"/>
          <w:szCs w:val="22"/>
        </w:rPr>
      </w:pPr>
      <w:r>
        <w:rPr>
          <w:rFonts w:ascii="Century Schoolbook" w:hAnsi="Century Schoolbook"/>
          <w:iCs/>
          <w:kern w:val="0"/>
          <w:sz w:val="22"/>
          <w:szCs w:val="22"/>
        </w:rPr>
        <w:t>S</w:t>
      </w:r>
      <w:r w:rsidR="001D26BE" w:rsidRPr="00C9399A">
        <w:rPr>
          <w:rFonts w:ascii="Century Schoolbook" w:hAnsi="Century Schoolbook"/>
          <w:iCs/>
          <w:kern w:val="0"/>
          <w:sz w:val="22"/>
          <w:szCs w:val="22"/>
        </w:rPr>
        <w:t xml:space="preserve">ee </w:t>
      </w:r>
      <w:r w:rsidR="001D26BE" w:rsidRPr="00C9399A">
        <w:rPr>
          <w:rFonts w:ascii="Century Schoolbook" w:hAnsi="Century Schoolbook"/>
          <w:i/>
          <w:iCs/>
          <w:kern w:val="0"/>
          <w:sz w:val="22"/>
          <w:szCs w:val="22"/>
        </w:rPr>
        <w:t>DNA strand break assay.</w:t>
      </w:r>
    </w:p>
    <w:p w:rsidR="00B71D08" w:rsidRPr="00B71D08" w:rsidRDefault="001D26BE" w:rsidP="00B71D08">
      <w:pPr>
        <w:autoSpaceDE w:val="0"/>
        <w:autoSpaceDN w:val="0"/>
        <w:adjustRightInd w:val="0"/>
        <w:spacing w:before="120" w:after="40"/>
        <w:textAlignment w:val="bottom"/>
        <w:rPr>
          <w:rFonts w:ascii="Century Schoolbook" w:hAnsi="Century Schoolbook"/>
          <w:b/>
          <w:iCs/>
          <w:kern w:val="0"/>
          <w:sz w:val="22"/>
          <w:szCs w:val="22"/>
        </w:rPr>
      </w:pPr>
      <w:proofErr w:type="spellStart"/>
      <w:r w:rsidRPr="00B71D08">
        <w:rPr>
          <w:rFonts w:ascii="Century Schoolbook" w:hAnsi="Century Schoolbook"/>
          <w:b/>
          <w:iCs/>
          <w:kern w:val="0"/>
          <w:sz w:val="22"/>
          <w:szCs w:val="22"/>
        </w:rPr>
        <w:t>Aneuploidy</w:t>
      </w:r>
      <w:proofErr w:type="spellEnd"/>
      <w:r w:rsidRPr="00B71D08">
        <w:rPr>
          <w:rFonts w:ascii="Century Schoolbook" w:hAnsi="Century Schoolbook"/>
          <w:b/>
          <w:iCs/>
          <w:kern w:val="0"/>
          <w:sz w:val="22"/>
          <w:szCs w:val="22"/>
        </w:rPr>
        <w:t>:</w:t>
      </w:r>
    </w:p>
    <w:p w:rsidR="001D26BE" w:rsidRPr="00C9399A" w:rsidRDefault="00B71D08" w:rsidP="004A62F4">
      <w:pPr>
        <w:autoSpaceDE w:val="0"/>
        <w:autoSpaceDN w:val="0"/>
        <w:adjustRightInd w:val="0"/>
        <w:spacing w:after="120"/>
        <w:textAlignment w:val="bottom"/>
        <w:rPr>
          <w:rFonts w:ascii="Century Schoolbook" w:hAnsi="Century Schoolbook"/>
          <w:kern w:val="0"/>
          <w:sz w:val="22"/>
          <w:szCs w:val="22"/>
        </w:rPr>
      </w:pPr>
      <w:proofErr w:type="gramStart"/>
      <w:r>
        <w:rPr>
          <w:rFonts w:ascii="Century Schoolbook" w:hAnsi="Century Schoolbook"/>
          <w:kern w:val="0"/>
          <w:sz w:val="22"/>
          <w:szCs w:val="22"/>
        </w:rPr>
        <w:t>N</w:t>
      </w:r>
      <w:r w:rsidR="001D26BE" w:rsidRPr="00C9399A">
        <w:rPr>
          <w:rFonts w:ascii="Century Schoolbook" w:hAnsi="Century Schoolbook"/>
          <w:kern w:val="0"/>
          <w:sz w:val="22"/>
          <w:szCs w:val="22"/>
        </w:rPr>
        <w:t>umerical deviation of the modal number of chromosomes in a cell or organism.</w:t>
      </w:r>
      <w:proofErr w:type="gramEnd"/>
    </w:p>
    <w:p w:rsidR="00B71D08" w:rsidRPr="00B71D08" w:rsidRDefault="001D26BE" w:rsidP="00B71D08">
      <w:pPr>
        <w:autoSpaceDE w:val="0"/>
        <w:autoSpaceDN w:val="0"/>
        <w:adjustRightInd w:val="0"/>
        <w:spacing w:before="120" w:after="40"/>
        <w:textAlignment w:val="bottom"/>
        <w:rPr>
          <w:rFonts w:ascii="Century Schoolbook" w:hAnsi="Century Schoolbook"/>
          <w:b/>
          <w:iCs/>
          <w:kern w:val="0"/>
          <w:sz w:val="22"/>
          <w:szCs w:val="22"/>
        </w:rPr>
      </w:pPr>
      <w:r w:rsidRPr="00B71D08">
        <w:rPr>
          <w:rFonts w:ascii="Century Schoolbook" w:hAnsi="Century Schoolbook"/>
          <w:b/>
          <w:iCs/>
          <w:kern w:val="0"/>
          <w:sz w:val="22"/>
          <w:szCs w:val="22"/>
        </w:rPr>
        <w:t>Base substitution:</w:t>
      </w:r>
    </w:p>
    <w:p w:rsidR="001D26BE" w:rsidRPr="00C9399A" w:rsidRDefault="00B71D08" w:rsidP="004A62F4">
      <w:pPr>
        <w:autoSpaceDE w:val="0"/>
        <w:autoSpaceDN w:val="0"/>
        <w:adjustRightInd w:val="0"/>
        <w:spacing w:after="120"/>
        <w:textAlignment w:val="bottom"/>
        <w:rPr>
          <w:rFonts w:ascii="Century Schoolbook" w:hAnsi="Century Schoolbook"/>
          <w:kern w:val="0"/>
          <w:sz w:val="22"/>
          <w:szCs w:val="22"/>
        </w:rPr>
      </w:pPr>
      <w:proofErr w:type="gramStart"/>
      <w:r w:rsidRPr="00B71D08">
        <w:rPr>
          <w:rFonts w:ascii="Century Schoolbook" w:hAnsi="Century Schoolbook"/>
          <w:kern w:val="0"/>
          <w:sz w:val="22"/>
          <w:szCs w:val="22"/>
        </w:rPr>
        <w:t>T</w:t>
      </w:r>
      <w:r w:rsidR="001D26BE" w:rsidRPr="00C9399A">
        <w:rPr>
          <w:rFonts w:ascii="Century Schoolbook" w:hAnsi="Century Schoolbook"/>
          <w:kern w:val="0"/>
          <w:sz w:val="22"/>
          <w:szCs w:val="22"/>
        </w:rPr>
        <w:t>he substitution of one or more base(s) for another in the nucleotide sequence.</w:t>
      </w:r>
      <w:proofErr w:type="gramEnd"/>
      <w:r w:rsidR="001D26BE" w:rsidRPr="00C9399A">
        <w:rPr>
          <w:rFonts w:ascii="Century Schoolbook" w:hAnsi="Century Schoolbook"/>
          <w:kern w:val="0"/>
          <w:sz w:val="22"/>
          <w:szCs w:val="22"/>
        </w:rPr>
        <w:t xml:space="preserve">  This can lead to an altered protein.</w:t>
      </w:r>
    </w:p>
    <w:p w:rsidR="00B71D08" w:rsidRPr="00B71D08" w:rsidRDefault="00B71D08" w:rsidP="00B71D08">
      <w:pPr>
        <w:autoSpaceDE w:val="0"/>
        <w:autoSpaceDN w:val="0"/>
        <w:adjustRightInd w:val="0"/>
        <w:spacing w:before="120" w:after="40"/>
        <w:textAlignment w:val="bottom"/>
        <w:rPr>
          <w:rFonts w:ascii="Century Schoolbook" w:hAnsi="Century Schoolbook"/>
          <w:b/>
          <w:iCs/>
          <w:kern w:val="0"/>
          <w:sz w:val="22"/>
          <w:szCs w:val="22"/>
        </w:rPr>
      </w:pPr>
      <w:r w:rsidRPr="00B71D08">
        <w:rPr>
          <w:rFonts w:ascii="Century Schoolbook" w:hAnsi="Century Schoolbook"/>
          <w:b/>
          <w:iCs/>
          <w:kern w:val="0"/>
          <w:sz w:val="22"/>
          <w:szCs w:val="22"/>
        </w:rPr>
        <w:t>Cell proliferation:</w:t>
      </w:r>
    </w:p>
    <w:p w:rsidR="001D26BE" w:rsidRPr="00C9399A" w:rsidRDefault="00B71D08" w:rsidP="004A62F4">
      <w:pPr>
        <w:autoSpaceDE w:val="0"/>
        <w:autoSpaceDN w:val="0"/>
        <w:adjustRightInd w:val="0"/>
        <w:spacing w:after="120"/>
        <w:textAlignment w:val="bottom"/>
        <w:rPr>
          <w:rFonts w:ascii="Century Schoolbook" w:hAnsi="Century Schoolbook"/>
          <w:kern w:val="0"/>
          <w:sz w:val="22"/>
          <w:szCs w:val="22"/>
        </w:rPr>
      </w:pPr>
      <w:proofErr w:type="gramStart"/>
      <w:r w:rsidRPr="00B71D08">
        <w:rPr>
          <w:rFonts w:ascii="Century Schoolbook" w:hAnsi="Century Schoolbook"/>
          <w:iCs/>
          <w:kern w:val="0"/>
          <w:sz w:val="22"/>
          <w:szCs w:val="22"/>
        </w:rPr>
        <w:t>T</w:t>
      </w:r>
      <w:r w:rsidR="001D26BE" w:rsidRPr="00C9399A">
        <w:rPr>
          <w:rFonts w:ascii="Century Schoolbook" w:hAnsi="Century Schoolbook"/>
          <w:kern w:val="0"/>
          <w:sz w:val="22"/>
          <w:szCs w:val="22"/>
        </w:rPr>
        <w:t>he ability of cells to divide and to form daughter cells.</w:t>
      </w:r>
      <w:proofErr w:type="gramEnd"/>
    </w:p>
    <w:p w:rsidR="00B71D08" w:rsidRPr="00B71D08" w:rsidRDefault="001D26BE" w:rsidP="00B71D08">
      <w:pPr>
        <w:autoSpaceDE w:val="0"/>
        <w:autoSpaceDN w:val="0"/>
        <w:adjustRightInd w:val="0"/>
        <w:spacing w:before="120" w:after="40"/>
        <w:textAlignment w:val="bottom"/>
        <w:rPr>
          <w:rFonts w:ascii="Century Schoolbook" w:hAnsi="Century Schoolbook"/>
          <w:iCs/>
          <w:kern w:val="0"/>
          <w:sz w:val="22"/>
          <w:szCs w:val="22"/>
        </w:rPr>
      </w:pPr>
      <w:proofErr w:type="spellStart"/>
      <w:r w:rsidRPr="00B71D08">
        <w:rPr>
          <w:rFonts w:ascii="Century Schoolbook" w:hAnsi="Century Schoolbook"/>
          <w:b/>
          <w:iCs/>
          <w:kern w:val="0"/>
          <w:sz w:val="22"/>
          <w:szCs w:val="22"/>
        </w:rPr>
        <w:t>Centromere</w:t>
      </w:r>
      <w:proofErr w:type="spellEnd"/>
      <w:r w:rsidRPr="00B71D08">
        <w:rPr>
          <w:rFonts w:ascii="Century Schoolbook" w:hAnsi="Century Schoolbook"/>
          <w:b/>
          <w:iCs/>
          <w:kern w:val="0"/>
          <w:sz w:val="22"/>
          <w:szCs w:val="22"/>
        </w:rPr>
        <w:t>/</w:t>
      </w:r>
      <w:proofErr w:type="spellStart"/>
      <w:r w:rsidRPr="00B71D08">
        <w:rPr>
          <w:rFonts w:ascii="Century Schoolbook" w:hAnsi="Century Schoolbook"/>
          <w:b/>
          <w:iCs/>
          <w:kern w:val="0"/>
          <w:sz w:val="22"/>
          <w:szCs w:val="22"/>
        </w:rPr>
        <w:t>kinetochore</w:t>
      </w:r>
      <w:proofErr w:type="spellEnd"/>
      <w:r w:rsidRPr="00B71D08">
        <w:rPr>
          <w:rFonts w:ascii="Century Schoolbook" w:hAnsi="Century Schoolbook"/>
          <w:b/>
          <w:iCs/>
          <w:kern w:val="0"/>
          <w:sz w:val="22"/>
          <w:szCs w:val="22"/>
        </w:rPr>
        <w:t>:</w:t>
      </w:r>
      <w:r w:rsidRPr="00B71D08">
        <w:rPr>
          <w:rFonts w:ascii="Century Schoolbook" w:hAnsi="Century Schoolbook"/>
          <w:iCs/>
          <w:kern w:val="0"/>
          <w:sz w:val="22"/>
          <w:szCs w:val="22"/>
        </w:rPr>
        <w:t xml:space="preserve"> </w:t>
      </w:r>
    </w:p>
    <w:p w:rsidR="001D26BE" w:rsidRPr="00C9399A" w:rsidRDefault="00B71D08" w:rsidP="004A62F4">
      <w:pPr>
        <w:autoSpaceDE w:val="0"/>
        <w:autoSpaceDN w:val="0"/>
        <w:adjustRightInd w:val="0"/>
        <w:spacing w:after="120"/>
        <w:textAlignment w:val="bottom"/>
        <w:rPr>
          <w:rFonts w:ascii="Century Schoolbook" w:hAnsi="Century Schoolbook"/>
          <w:i/>
          <w:iCs/>
          <w:kern w:val="0"/>
          <w:sz w:val="22"/>
          <w:szCs w:val="22"/>
        </w:rPr>
      </w:pPr>
      <w:r>
        <w:rPr>
          <w:rFonts w:ascii="Century Schoolbook" w:hAnsi="Century Schoolbook"/>
          <w:iCs/>
          <w:kern w:val="0"/>
          <w:sz w:val="22"/>
          <w:szCs w:val="22"/>
        </w:rPr>
        <w:t>S</w:t>
      </w:r>
      <w:r w:rsidR="001D26BE" w:rsidRPr="00C9399A">
        <w:rPr>
          <w:rFonts w:ascii="Century Schoolbook" w:hAnsi="Century Schoolbook"/>
          <w:iCs/>
          <w:kern w:val="0"/>
          <w:sz w:val="22"/>
          <w:szCs w:val="22"/>
        </w:rPr>
        <w:t xml:space="preserve">tructures in chromosomes essential for association of sister </w:t>
      </w:r>
      <w:proofErr w:type="spellStart"/>
      <w:r w:rsidR="001D26BE" w:rsidRPr="00C9399A">
        <w:rPr>
          <w:rFonts w:ascii="Century Schoolbook" w:hAnsi="Century Schoolbook"/>
          <w:iCs/>
          <w:kern w:val="0"/>
          <w:sz w:val="22"/>
          <w:szCs w:val="22"/>
        </w:rPr>
        <w:t>chromatids</w:t>
      </w:r>
      <w:proofErr w:type="spellEnd"/>
      <w:r w:rsidR="001D26BE" w:rsidRPr="00C9399A">
        <w:rPr>
          <w:rFonts w:ascii="Century Schoolbook" w:hAnsi="Century Schoolbook"/>
          <w:iCs/>
          <w:kern w:val="0"/>
          <w:sz w:val="22"/>
          <w:szCs w:val="22"/>
        </w:rPr>
        <w:t xml:space="preserve"> and for attachment of spindle fibers that move daughter chromosomes to the poles and ensure inclusion in daughter nuclei.</w:t>
      </w:r>
    </w:p>
    <w:p w:rsidR="00B71D08" w:rsidRPr="00B71D08" w:rsidRDefault="001D26BE" w:rsidP="00B71D08">
      <w:pPr>
        <w:autoSpaceDE w:val="0"/>
        <w:autoSpaceDN w:val="0"/>
        <w:adjustRightInd w:val="0"/>
        <w:spacing w:before="120" w:after="40"/>
        <w:textAlignment w:val="bottom"/>
        <w:rPr>
          <w:rFonts w:ascii="Century Schoolbook" w:hAnsi="Century Schoolbook"/>
          <w:kern w:val="0"/>
          <w:sz w:val="22"/>
          <w:szCs w:val="22"/>
        </w:rPr>
      </w:pPr>
      <w:proofErr w:type="spellStart"/>
      <w:r w:rsidRPr="00B71D08">
        <w:rPr>
          <w:rFonts w:ascii="Century Schoolbook" w:hAnsi="Century Schoolbook"/>
          <w:b/>
          <w:iCs/>
          <w:kern w:val="0"/>
          <w:sz w:val="22"/>
          <w:szCs w:val="22"/>
        </w:rPr>
        <w:t>Clastogen</w:t>
      </w:r>
      <w:proofErr w:type="spellEnd"/>
      <w:r w:rsidRPr="00B71D08">
        <w:rPr>
          <w:rFonts w:ascii="Century Schoolbook" w:hAnsi="Century Schoolbook"/>
          <w:b/>
          <w:iCs/>
          <w:kern w:val="0"/>
          <w:sz w:val="22"/>
          <w:szCs w:val="22"/>
        </w:rPr>
        <w:t xml:space="preserve">: </w:t>
      </w:r>
    </w:p>
    <w:p w:rsidR="001D26BE" w:rsidRPr="00C9399A" w:rsidRDefault="00B71D08" w:rsidP="004A62F4">
      <w:pPr>
        <w:autoSpaceDE w:val="0"/>
        <w:autoSpaceDN w:val="0"/>
        <w:adjustRightInd w:val="0"/>
        <w:spacing w:after="120"/>
        <w:textAlignment w:val="bottom"/>
        <w:rPr>
          <w:rFonts w:ascii="Century Schoolbook" w:hAnsi="Century Schoolbook"/>
          <w:kern w:val="0"/>
          <w:sz w:val="22"/>
          <w:szCs w:val="22"/>
        </w:rPr>
      </w:pPr>
      <w:proofErr w:type="gramStart"/>
      <w:r>
        <w:rPr>
          <w:rFonts w:ascii="Century Schoolbook" w:hAnsi="Century Schoolbook"/>
          <w:kern w:val="0"/>
          <w:sz w:val="22"/>
          <w:szCs w:val="22"/>
        </w:rPr>
        <w:t>A</w:t>
      </w:r>
      <w:r w:rsidR="001D26BE" w:rsidRPr="00C9399A">
        <w:rPr>
          <w:rFonts w:ascii="Century Schoolbook" w:hAnsi="Century Schoolbook"/>
          <w:kern w:val="0"/>
          <w:sz w:val="22"/>
          <w:szCs w:val="22"/>
        </w:rPr>
        <w:t>n agent that produces structural breakage of chromosomes, usually detectable by light microscopy.</w:t>
      </w:r>
      <w:proofErr w:type="gramEnd"/>
    </w:p>
    <w:p w:rsidR="00B71D08" w:rsidRPr="00B71D08" w:rsidRDefault="001D26BE" w:rsidP="00B71D08">
      <w:pPr>
        <w:autoSpaceDE w:val="0"/>
        <w:autoSpaceDN w:val="0"/>
        <w:adjustRightInd w:val="0"/>
        <w:spacing w:before="120" w:after="40"/>
        <w:textAlignment w:val="bottom"/>
        <w:rPr>
          <w:rFonts w:ascii="Century Schoolbook" w:hAnsi="Century Schoolbook"/>
          <w:iCs/>
          <w:kern w:val="0"/>
          <w:sz w:val="22"/>
          <w:szCs w:val="22"/>
        </w:rPr>
      </w:pPr>
      <w:r w:rsidRPr="00B71D08">
        <w:rPr>
          <w:rFonts w:ascii="Century Schoolbook" w:hAnsi="Century Schoolbook"/>
          <w:b/>
          <w:iCs/>
          <w:kern w:val="0"/>
          <w:sz w:val="22"/>
          <w:szCs w:val="22"/>
        </w:rPr>
        <w:t>Cloning efficiency:</w:t>
      </w:r>
      <w:r w:rsidRPr="00B71D08">
        <w:rPr>
          <w:rFonts w:ascii="Century Schoolbook" w:hAnsi="Century Schoolbook"/>
          <w:iCs/>
          <w:kern w:val="0"/>
          <w:sz w:val="22"/>
          <w:szCs w:val="22"/>
        </w:rPr>
        <w:t xml:space="preserve"> </w:t>
      </w:r>
    </w:p>
    <w:p w:rsidR="001D26BE" w:rsidRPr="00C9399A" w:rsidRDefault="00B71D08" w:rsidP="004A62F4">
      <w:pPr>
        <w:autoSpaceDE w:val="0"/>
        <w:autoSpaceDN w:val="0"/>
        <w:adjustRightInd w:val="0"/>
        <w:spacing w:after="120"/>
        <w:textAlignment w:val="bottom"/>
        <w:rPr>
          <w:rFonts w:ascii="Century Schoolbook" w:hAnsi="Century Schoolbook"/>
          <w:kern w:val="0"/>
          <w:sz w:val="22"/>
          <w:szCs w:val="22"/>
        </w:rPr>
      </w:pPr>
      <w:proofErr w:type="gramStart"/>
      <w:r>
        <w:rPr>
          <w:rFonts w:ascii="Century Schoolbook" w:hAnsi="Century Schoolbook"/>
          <w:kern w:val="0"/>
          <w:sz w:val="22"/>
          <w:szCs w:val="22"/>
        </w:rPr>
        <w:t>T</w:t>
      </w:r>
      <w:r w:rsidR="001D26BE" w:rsidRPr="00C9399A">
        <w:rPr>
          <w:rFonts w:ascii="Century Schoolbook" w:hAnsi="Century Schoolbook"/>
          <w:kern w:val="0"/>
          <w:sz w:val="22"/>
          <w:szCs w:val="22"/>
        </w:rPr>
        <w:t>he efficiency of single cells to form clones.</w:t>
      </w:r>
      <w:proofErr w:type="gramEnd"/>
      <w:r w:rsidR="001D26BE" w:rsidRPr="00C9399A">
        <w:rPr>
          <w:rFonts w:ascii="Century Schoolbook" w:hAnsi="Century Schoolbook"/>
          <w:kern w:val="0"/>
          <w:sz w:val="22"/>
          <w:szCs w:val="22"/>
        </w:rPr>
        <w:t xml:space="preserve">  It is usually measured after seeding low numbers of cells in a suitable environment.</w:t>
      </w:r>
    </w:p>
    <w:p w:rsidR="00B71D08" w:rsidRPr="00B71D08" w:rsidRDefault="001D26BE" w:rsidP="00B71D08">
      <w:pPr>
        <w:autoSpaceDE w:val="0"/>
        <w:autoSpaceDN w:val="0"/>
        <w:adjustRightInd w:val="0"/>
        <w:spacing w:before="120" w:after="40"/>
        <w:textAlignment w:val="bottom"/>
        <w:rPr>
          <w:rFonts w:ascii="Century Schoolbook" w:hAnsi="Century Schoolbook"/>
          <w:kern w:val="0"/>
          <w:sz w:val="22"/>
          <w:szCs w:val="22"/>
        </w:rPr>
      </w:pPr>
      <w:r w:rsidRPr="00B71D08">
        <w:rPr>
          <w:rFonts w:ascii="Century Schoolbook" w:hAnsi="Century Schoolbook"/>
          <w:b/>
          <w:kern w:val="0"/>
          <w:sz w:val="22"/>
          <w:szCs w:val="22"/>
        </w:rPr>
        <w:t>Comet assay:</w:t>
      </w:r>
      <w:r w:rsidRPr="00B71D08">
        <w:rPr>
          <w:rFonts w:ascii="Century Schoolbook" w:hAnsi="Century Schoolbook"/>
          <w:kern w:val="0"/>
          <w:sz w:val="22"/>
          <w:szCs w:val="22"/>
        </w:rPr>
        <w:t xml:space="preserve">  </w:t>
      </w:r>
    </w:p>
    <w:p w:rsidR="001D26BE" w:rsidRPr="00C9399A" w:rsidRDefault="00B71D08" w:rsidP="004A62F4">
      <w:pPr>
        <w:autoSpaceDE w:val="0"/>
        <w:autoSpaceDN w:val="0"/>
        <w:adjustRightInd w:val="0"/>
        <w:spacing w:after="120"/>
        <w:textAlignment w:val="bottom"/>
        <w:rPr>
          <w:rFonts w:ascii="Century Schoolbook" w:hAnsi="Century Schoolbook"/>
          <w:kern w:val="0"/>
          <w:sz w:val="22"/>
          <w:szCs w:val="22"/>
        </w:rPr>
      </w:pPr>
      <w:r>
        <w:rPr>
          <w:rFonts w:ascii="Century Schoolbook" w:hAnsi="Century Schoolbook"/>
          <w:kern w:val="0"/>
          <w:sz w:val="22"/>
          <w:szCs w:val="22"/>
        </w:rPr>
        <w:t>S</w:t>
      </w:r>
      <w:r w:rsidR="001D26BE" w:rsidRPr="00C9399A">
        <w:rPr>
          <w:rFonts w:ascii="Century Schoolbook" w:hAnsi="Century Schoolbook"/>
          <w:i/>
          <w:kern w:val="0"/>
          <w:sz w:val="22"/>
          <w:szCs w:val="22"/>
        </w:rPr>
        <w:t>ee DNA strand break assay.</w:t>
      </w:r>
    </w:p>
    <w:p w:rsidR="00B71D08" w:rsidRPr="00B71D08" w:rsidRDefault="001D26BE" w:rsidP="00B71D08">
      <w:pPr>
        <w:autoSpaceDE w:val="0"/>
        <w:autoSpaceDN w:val="0"/>
        <w:adjustRightInd w:val="0"/>
        <w:spacing w:before="120" w:after="40"/>
        <w:textAlignment w:val="bottom"/>
        <w:rPr>
          <w:rFonts w:ascii="Century Schoolbook" w:hAnsi="Century Schoolbook"/>
          <w:iCs/>
          <w:kern w:val="0"/>
          <w:sz w:val="22"/>
          <w:szCs w:val="22"/>
        </w:rPr>
      </w:pPr>
      <w:r w:rsidRPr="00B71D08">
        <w:rPr>
          <w:rFonts w:ascii="Century Schoolbook" w:hAnsi="Century Schoolbook"/>
          <w:b/>
          <w:iCs/>
          <w:kern w:val="0"/>
          <w:sz w:val="22"/>
          <w:szCs w:val="22"/>
        </w:rPr>
        <w:t xml:space="preserve">Culture </w:t>
      </w:r>
      <w:proofErr w:type="spellStart"/>
      <w:r w:rsidRPr="00B71D08">
        <w:rPr>
          <w:rFonts w:ascii="Century Schoolbook" w:hAnsi="Century Schoolbook"/>
          <w:b/>
          <w:iCs/>
          <w:kern w:val="0"/>
          <w:sz w:val="22"/>
          <w:szCs w:val="22"/>
        </w:rPr>
        <w:t>confluency</w:t>
      </w:r>
      <w:proofErr w:type="spellEnd"/>
      <w:r w:rsidRPr="00B71D08">
        <w:rPr>
          <w:rFonts w:ascii="Century Schoolbook" w:hAnsi="Century Schoolbook"/>
          <w:b/>
          <w:iCs/>
          <w:kern w:val="0"/>
          <w:sz w:val="22"/>
          <w:szCs w:val="22"/>
        </w:rPr>
        <w:t>:</w:t>
      </w:r>
      <w:r w:rsidRPr="00B71D08">
        <w:rPr>
          <w:rFonts w:ascii="Century Schoolbook" w:hAnsi="Century Schoolbook"/>
          <w:iCs/>
          <w:kern w:val="0"/>
          <w:sz w:val="22"/>
          <w:szCs w:val="22"/>
        </w:rPr>
        <w:t xml:space="preserve"> </w:t>
      </w:r>
    </w:p>
    <w:p w:rsidR="001D26BE" w:rsidRPr="00C9399A" w:rsidRDefault="00B71D08" w:rsidP="004A62F4">
      <w:pPr>
        <w:autoSpaceDE w:val="0"/>
        <w:autoSpaceDN w:val="0"/>
        <w:adjustRightInd w:val="0"/>
        <w:spacing w:after="120"/>
        <w:textAlignment w:val="bottom"/>
        <w:rPr>
          <w:rFonts w:ascii="Century Schoolbook" w:hAnsi="Century Schoolbook"/>
          <w:kern w:val="0"/>
          <w:sz w:val="22"/>
          <w:szCs w:val="22"/>
        </w:rPr>
      </w:pPr>
      <w:proofErr w:type="gramStart"/>
      <w:r w:rsidRPr="00B71D08">
        <w:rPr>
          <w:rFonts w:ascii="Century Schoolbook" w:hAnsi="Century Schoolbook"/>
          <w:iCs/>
          <w:kern w:val="0"/>
          <w:sz w:val="22"/>
          <w:szCs w:val="22"/>
        </w:rPr>
        <w:t>A</w:t>
      </w:r>
      <w:r w:rsidR="001D26BE" w:rsidRPr="00C9399A">
        <w:rPr>
          <w:rFonts w:ascii="Century Schoolbook" w:hAnsi="Century Schoolbook"/>
          <w:kern w:val="0"/>
          <w:sz w:val="22"/>
          <w:szCs w:val="22"/>
        </w:rPr>
        <w:t xml:space="preserve"> quantification of the cell density in a culture by visual inspection.</w:t>
      </w:r>
      <w:proofErr w:type="gramEnd"/>
    </w:p>
    <w:p w:rsidR="00B71D08" w:rsidRPr="00B71D08" w:rsidRDefault="001D26BE" w:rsidP="00B71D08">
      <w:pPr>
        <w:autoSpaceDE w:val="0"/>
        <w:autoSpaceDN w:val="0"/>
        <w:adjustRightInd w:val="0"/>
        <w:spacing w:before="120" w:after="40"/>
        <w:textAlignment w:val="bottom"/>
        <w:rPr>
          <w:rFonts w:ascii="Century Schoolbook" w:hAnsi="Century Schoolbook"/>
          <w:kern w:val="0"/>
          <w:sz w:val="22"/>
          <w:szCs w:val="22"/>
        </w:rPr>
      </w:pPr>
      <w:r w:rsidRPr="00B71D08">
        <w:rPr>
          <w:rFonts w:ascii="Century Schoolbook" w:hAnsi="Century Schoolbook"/>
          <w:b/>
          <w:iCs/>
          <w:kern w:val="0"/>
          <w:sz w:val="22"/>
          <w:szCs w:val="22"/>
        </w:rPr>
        <w:t>Cytogenetic evaluation</w:t>
      </w:r>
      <w:r w:rsidRPr="00B71D08">
        <w:rPr>
          <w:rFonts w:ascii="Century Schoolbook" w:hAnsi="Century Schoolbook"/>
          <w:b/>
          <w:kern w:val="0"/>
          <w:sz w:val="22"/>
          <w:szCs w:val="22"/>
        </w:rPr>
        <w:t>:</w:t>
      </w:r>
      <w:r w:rsidRPr="00B71D08">
        <w:rPr>
          <w:rFonts w:ascii="Century Schoolbook" w:hAnsi="Century Schoolbook"/>
          <w:kern w:val="0"/>
          <w:sz w:val="22"/>
          <w:szCs w:val="22"/>
        </w:rPr>
        <w:t xml:space="preserve"> </w:t>
      </w:r>
    </w:p>
    <w:p w:rsidR="001D26BE" w:rsidRPr="00C9399A" w:rsidRDefault="00B71D08" w:rsidP="004A62F4">
      <w:pPr>
        <w:autoSpaceDE w:val="0"/>
        <w:autoSpaceDN w:val="0"/>
        <w:adjustRightInd w:val="0"/>
        <w:spacing w:after="120"/>
        <w:textAlignment w:val="bottom"/>
        <w:rPr>
          <w:rFonts w:ascii="Century Schoolbook" w:hAnsi="Century Schoolbook"/>
          <w:kern w:val="0"/>
          <w:sz w:val="22"/>
          <w:szCs w:val="22"/>
        </w:rPr>
      </w:pPr>
      <w:proofErr w:type="gramStart"/>
      <w:r>
        <w:rPr>
          <w:rFonts w:ascii="Century Schoolbook" w:hAnsi="Century Schoolbook"/>
          <w:kern w:val="0"/>
          <w:sz w:val="22"/>
          <w:szCs w:val="22"/>
        </w:rPr>
        <w:t>C</w:t>
      </w:r>
      <w:r w:rsidR="001D26BE" w:rsidRPr="00C9399A">
        <w:rPr>
          <w:rFonts w:ascii="Century Schoolbook" w:hAnsi="Century Schoolbook"/>
          <w:kern w:val="0"/>
          <w:sz w:val="22"/>
          <w:szCs w:val="22"/>
        </w:rPr>
        <w:t>hromosome structure analysis in mitosis or meiosis by light microscopy or micronucleus analysis.</w:t>
      </w:r>
      <w:proofErr w:type="gramEnd"/>
    </w:p>
    <w:p w:rsidR="00B71D08" w:rsidRPr="00B71D08" w:rsidRDefault="001D26BE" w:rsidP="00B71D08">
      <w:pPr>
        <w:autoSpaceDE w:val="0"/>
        <w:autoSpaceDN w:val="0"/>
        <w:adjustRightInd w:val="0"/>
        <w:spacing w:before="120" w:after="40"/>
        <w:textAlignment w:val="bottom"/>
        <w:rPr>
          <w:rFonts w:ascii="Century Schoolbook" w:hAnsi="Century Schoolbook"/>
          <w:kern w:val="0"/>
          <w:sz w:val="22"/>
          <w:szCs w:val="22"/>
        </w:rPr>
      </w:pPr>
      <w:r w:rsidRPr="00B71D08">
        <w:rPr>
          <w:rFonts w:ascii="Century Schoolbook" w:hAnsi="Century Schoolbook"/>
          <w:b/>
          <w:iCs/>
          <w:kern w:val="0"/>
          <w:sz w:val="22"/>
          <w:szCs w:val="22"/>
        </w:rPr>
        <w:t xml:space="preserve">DNA </w:t>
      </w:r>
      <w:proofErr w:type="gramStart"/>
      <w:r w:rsidRPr="00B71D08">
        <w:rPr>
          <w:rFonts w:ascii="Century Schoolbook" w:hAnsi="Century Schoolbook"/>
          <w:b/>
          <w:iCs/>
          <w:kern w:val="0"/>
          <w:sz w:val="22"/>
          <w:szCs w:val="22"/>
        </w:rPr>
        <w:t>adduct</w:t>
      </w:r>
      <w:proofErr w:type="gramEnd"/>
      <w:r w:rsidRPr="00B71D08">
        <w:rPr>
          <w:rFonts w:ascii="Century Schoolbook" w:hAnsi="Century Schoolbook"/>
          <w:b/>
          <w:kern w:val="0"/>
          <w:sz w:val="22"/>
          <w:szCs w:val="22"/>
        </w:rPr>
        <w:t>:</w:t>
      </w:r>
      <w:r w:rsidRPr="00B71D08">
        <w:rPr>
          <w:rFonts w:ascii="Century Schoolbook" w:hAnsi="Century Schoolbook"/>
          <w:kern w:val="0"/>
          <w:sz w:val="22"/>
          <w:szCs w:val="22"/>
        </w:rPr>
        <w:t xml:space="preserve"> </w:t>
      </w:r>
    </w:p>
    <w:p w:rsidR="001D26BE" w:rsidRPr="00C9399A" w:rsidRDefault="00B71D08" w:rsidP="004A62F4">
      <w:pPr>
        <w:autoSpaceDE w:val="0"/>
        <w:autoSpaceDN w:val="0"/>
        <w:adjustRightInd w:val="0"/>
        <w:spacing w:after="120"/>
        <w:textAlignment w:val="bottom"/>
        <w:rPr>
          <w:rFonts w:ascii="Century Schoolbook" w:hAnsi="Century Schoolbook"/>
          <w:kern w:val="0"/>
          <w:sz w:val="22"/>
          <w:szCs w:val="22"/>
        </w:rPr>
      </w:pPr>
      <w:proofErr w:type="gramStart"/>
      <w:r>
        <w:rPr>
          <w:rFonts w:ascii="Century Schoolbook" w:hAnsi="Century Schoolbook"/>
          <w:kern w:val="0"/>
          <w:sz w:val="22"/>
          <w:szCs w:val="22"/>
        </w:rPr>
        <w:t>P</w:t>
      </w:r>
      <w:r w:rsidR="001D26BE" w:rsidRPr="00C9399A">
        <w:rPr>
          <w:rFonts w:ascii="Century Schoolbook" w:hAnsi="Century Schoolbook"/>
          <w:kern w:val="0"/>
          <w:sz w:val="22"/>
          <w:szCs w:val="22"/>
        </w:rPr>
        <w:t>roduct of covalent binding of a chemical to DNA.</w:t>
      </w:r>
      <w:proofErr w:type="gramEnd"/>
    </w:p>
    <w:p w:rsidR="00B71D08" w:rsidRPr="00B71D08" w:rsidRDefault="001D26BE" w:rsidP="00B71D08">
      <w:pPr>
        <w:autoSpaceDE w:val="0"/>
        <w:autoSpaceDN w:val="0"/>
        <w:adjustRightInd w:val="0"/>
        <w:spacing w:before="120" w:after="40"/>
        <w:textAlignment w:val="bottom"/>
        <w:rPr>
          <w:rFonts w:ascii="Century Schoolbook" w:hAnsi="Century Schoolbook"/>
          <w:kern w:val="0"/>
          <w:sz w:val="22"/>
          <w:szCs w:val="22"/>
        </w:rPr>
      </w:pPr>
      <w:r w:rsidRPr="00B71D08">
        <w:rPr>
          <w:rFonts w:ascii="Century Schoolbook" w:hAnsi="Century Schoolbook"/>
          <w:b/>
          <w:iCs/>
          <w:kern w:val="0"/>
          <w:sz w:val="22"/>
          <w:szCs w:val="22"/>
        </w:rPr>
        <w:t>DNA repair</w:t>
      </w:r>
      <w:r w:rsidRPr="00B71D08">
        <w:rPr>
          <w:rFonts w:ascii="Century Schoolbook" w:hAnsi="Century Schoolbook"/>
          <w:b/>
          <w:kern w:val="0"/>
          <w:sz w:val="22"/>
          <w:szCs w:val="22"/>
        </w:rPr>
        <w:t>:</w:t>
      </w:r>
      <w:r w:rsidRPr="00B71D08">
        <w:rPr>
          <w:rFonts w:ascii="Century Schoolbook" w:hAnsi="Century Schoolbook"/>
          <w:kern w:val="0"/>
          <w:sz w:val="22"/>
          <w:szCs w:val="22"/>
        </w:rPr>
        <w:t xml:space="preserve"> </w:t>
      </w:r>
    </w:p>
    <w:p w:rsidR="001D26BE" w:rsidRPr="00C9399A" w:rsidRDefault="00B71D08" w:rsidP="004A62F4">
      <w:pPr>
        <w:autoSpaceDE w:val="0"/>
        <w:autoSpaceDN w:val="0"/>
        <w:adjustRightInd w:val="0"/>
        <w:spacing w:after="120"/>
        <w:textAlignment w:val="bottom"/>
        <w:rPr>
          <w:rFonts w:ascii="Century Schoolbook" w:hAnsi="Century Schoolbook"/>
          <w:kern w:val="0"/>
          <w:sz w:val="22"/>
          <w:szCs w:val="22"/>
        </w:rPr>
      </w:pPr>
      <w:proofErr w:type="gramStart"/>
      <w:r>
        <w:rPr>
          <w:rFonts w:ascii="Century Schoolbook" w:hAnsi="Century Schoolbook"/>
          <w:kern w:val="0"/>
          <w:sz w:val="22"/>
          <w:szCs w:val="22"/>
        </w:rPr>
        <w:t>R</w:t>
      </w:r>
      <w:r w:rsidR="001D26BE" w:rsidRPr="00C9399A">
        <w:rPr>
          <w:rFonts w:ascii="Century Schoolbook" w:hAnsi="Century Schoolbook"/>
          <w:kern w:val="0"/>
          <w:sz w:val="22"/>
          <w:szCs w:val="22"/>
        </w:rPr>
        <w:t>econstitution of the original DNA sequence after DNA damage.</w:t>
      </w:r>
      <w:proofErr w:type="gramEnd"/>
    </w:p>
    <w:p w:rsidR="00B71D08" w:rsidRPr="00B71D08" w:rsidRDefault="001D26BE" w:rsidP="00B71D08">
      <w:pPr>
        <w:autoSpaceDE w:val="0"/>
        <w:autoSpaceDN w:val="0"/>
        <w:adjustRightInd w:val="0"/>
        <w:spacing w:before="120" w:after="40"/>
        <w:textAlignment w:val="bottom"/>
        <w:rPr>
          <w:rFonts w:ascii="Century Schoolbook" w:hAnsi="Century Schoolbook"/>
          <w:kern w:val="0"/>
          <w:sz w:val="22"/>
          <w:szCs w:val="22"/>
        </w:rPr>
      </w:pPr>
      <w:r w:rsidRPr="00B71D08">
        <w:rPr>
          <w:rFonts w:ascii="Century Schoolbook" w:hAnsi="Century Schoolbook"/>
          <w:b/>
          <w:iCs/>
          <w:kern w:val="0"/>
          <w:sz w:val="22"/>
          <w:szCs w:val="22"/>
        </w:rPr>
        <w:t>DNA strand breaks</w:t>
      </w:r>
      <w:r w:rsidRPr="00B71D08">
        <w:rPr>
          <w:rFonts w:ascii="Century Schoolbook" w:hAnsi="Century Schoolbook"/>
          <w:b/>
          <w:kern w:val="0"/>
          <w:sz w:val="22"/>
          <w:szCs w:val="22"/>
        </w:rPr>
        <w:t>:</w:t>
      </w:r>
      <w:r w:rsidRPr="00B71D08">
        <w:rPr>
          <w:rFonts w:ascii="Century Schoolbook" w:hAnsi="Century Schoolbook"/>
          <w:kern w:val="0"/>
          <w:sz w:val="22"/>
          <w:szCs w:val="22"/>
        </w:rPr>
        <w:t xml:space="preserve"> </w:t>
      </w:r>
    </w:p>
    <w:p w:rsidR="001D26BE" w:rsidRPr="00C9399A" w:rsidRDefault="00B71D08" w:rsidP="004A62F4">
      <w:pPr>
        <w:autoSpaceDE w:val="0"/>
        <w:autoSpaceDN w:val="0"/>
        <w:adjustRightInd w:val="0"/>
        <w:spacing w:after="120"/>
        <w:textAlignment w:val="bottom"/>
        <w:rPr>
          <w:rFonts w:ascii="Century Schoolbook" w:hAnsi="Century Schoolbook"/>
          <w:kern w:val="0"/>
          <w:sz w:val="22"/>
          <w:szCs w:val="22"/>
        </w:rPr>
      </w:pPr>
      <w:proofErr w:type="gramStart"/>
      <w:r>
        <w:rPr>
          <w:rFonts w:ascii="Century Schoolbook" w:hAnsi="Century Schoolbook"/>
          <w:kern w:val="0"/>
          <w:sz w:val="22"/>
          <w:szCs w:val="22"/>
        </w:rPr>
        <w:t>S</w:t>
      </w:r>
      <w:r w:rsidR="001D26BE" w:rsidRPr="00C9399A">
        <w:rPr>
          <w:rFonts w:ascii="Century Schoolbook" w:hAnsi="Century Schoolbook"/>
          <w:kern w:val="0"/>
          <w:sz w:val="22"/>
          <w:szCs w:val="22"/>
        </w:rPr>
        <w:t>ingle or double strand scissions in the DNA.</w:t>
      </w:r>
      <w:proofErr w:type="gramEnd"/>
    </w:p>
    <w:p w:rsidR="00B71D08" w:rsidRPr="00B71D08" w:rsidRDefault="001D26BE" w:rsidP="00B71D08">
      <w:pPr>
        <w:autoSpaceDE w:val="0"/>
        <w:autoSpaceDN w:val="0"/>
        <w:adjustRightInd w:val="0"/>
        <w:spacing w:before="120" w:after="40"/>
        <w:textAlignment w:val="bottom"/>
        <w:rPr>
          <w:rFonts w:ascii="Century Schoolbook" w:hAnsi="Century Schoolbook"/>
          <w:kern w:val="0"/>
          <w:sz w:val="22"/>
          <w:szCs w:val="22"/>
        </w:rPr>
      </w:pPr>
      <w:r w:rsidRPr="00B71D08">
        <w:rPr>
          <w:rFonts w:ascii="Century Schoolbook" w:hAnsi="Century Schoolbook"/>
          <w:b/>
          <w:kern w:val="0"/>
          <w:sz w:val="22"/>
          <w:szCs w:val="22"/>
        </w:rPr>
        <w:t>DNA strand break test:</w:t>
      </w:r>
      <w:r w:rsidRPr="00B71D08">
        <w:rPr>
          <w:rFonts w:ascii="Century Schoolbook" w:hAnsi="Century Schoolbook"/>
          <w:kern w:val="0"/>
          <w:sz w:val="22"/>
          <w:szCs w:val="22"/>
        </w:rPr>
        <w:t xml:space="preserve"> </w:t>
      </w:r>
    </w:p>
    <w:p w:rsidR="001D26BE" w:rsidRPr="00C9399A" w:rsidRDefault="00B71D08" w:rsidP="004A62F4">
      <w:pPr>
        <w:autoSpaceDE w:val="0"/>
        <w:autoSpaceDN w:val="0"/>
        <w:adjustRightInd w:val="0"/>
        <w:spacing w:after="120"/>
        <w:textAlignment w:val="bottom"/>
        <w:rPr>
          <w:rFonts w:ascii="Century Schoolbook" w:hAnsi="Century Schoolbook"/>
          <w:kern w:val="0"/>
          <w:sz w:val="22"/>
          <w:szCs w:val="22"/>
        </w:rPr>
      </w:pPr>
      <w:r>
        <w:rPr>
          <w:rFonts w:ascii="Century Schoolbook" w:hAnsi="Century Schoolbook"/>
          <w:kern w:val="0"/>
          <w:sz w:val="22"/>
          <w:szCs w:val="22"/>
        </w:rPr>
        <w:t>A</w:t>
      </w:r>
      <w:r w:rsidR="001D26BE" w:rsidRPr="00C9399A">
        <w:rPr>
          <w:rFonts w:ascii="Century Schoolbook" w:hAnsi="Century Schoolbook"/>
          <w:kern w:val="0"/>
          <w:sz w:val="22"/>
          <w:szCs w:val="22"/>
        </w:rPr>
        <w:t>lkaline treatment that converts certain types of DNA lesions into strand breaks that can be detected by the alkaline elution technique, measuring migration rate through a filter, or by the single cell gel electrophoresis or Comet test (in which cells embedded in a thin layer of gel on a microscope slides are subjected to electric current, causing shorter pieces of DNA to migrate out of the nucleus into a “Comet tail”).  The extent of DNA migration is measured visually under the microscope on stained cells.</w:t>
      </w:r>
    </w:p>
    <w:p w:rsidR="00B71D08" w:rsidRPr="00B71D08" w:rsidRDefault="001D26BE" w:rsidP="00B71D08">
      <w:pPr>
        <w:autoSpaceDE w:val="0"/>
        <w:autoSpaceDN w:val="0"/>
        <w:adjustRightInd w:val="0"/>
        <w:spacing w:before="120" w:after="40"/>
        <w:textAlignment w:val="bottom"/>
        <w:rPr>
          <w:rFonts w:ascii="Century Schoolbook" w:hAnsi="Century Schoolbook"/>
          <w:kern w:val="0"/>
          <w:sz w:val="22"/>
          <w:szCs w:val="22"/>
        </w:rPr>
      </w:pPr>
      <w:proofErr w:type="spellStart"/>
      <w:r w:rsidRPr="00B71D08">
        <w:rPr>
          <w:rFonts w:ascii="Century Schoolbook" w:hAnsi="Century Schoolbook"/>
          <w:b/>
          <w:iCs/>
          <w:kern w:val="0"/>
          <w:sz w:val="22"/>
          <w:szCs w:val="22"/>
        </w:rPr>
        <w:t>Frameshift</w:t>
      </w:r>
      <w:proofErr w:type="spellEnd"/>
      <w:r w:rsidRPr="00B71D08">
        <w:rPr>
          <w:rFonts w:ascii="Century Schoolbook" w:hAnsi="Century Schoolbook"/>
          <w:b/>
          <w:iCs/>
          <w:kern w:val="0"/>
          <w:sz w:val="22"/>
          <w:szCs w:val="22"/>
        </w:rPr>
        <w:t xml:space="preserve"> mutation: </w:t>
      </w:r>
    </w:p>
    <w:p w:rsidR="001D26BE" w:rsidRPr="00C9399A" w:rsidRDefault="00B71D08" w:rsidP="004A62F4">
      <w:pPr>
        <w:autoSpaceDE w:val="0"/>
        <w:autoSpaceDN w:val="0"/>
        <w:adjustRightInd w:val="0"/>
        <w:spacing w:after="120"/>
        <w:textAlignment w:val="bottom"/>
        <w:rPr>
          <w:rFonts w:ascii="Century Schoolbook" w:hAnsi="Century Schoolbook"/>
          <w:kern w:val="0"/>
          <w:sz w:val="22"/>
          <w:szCs w:val="22"/>
        </w:rPr>
      </w:pPr>
      <w:r>
        <w:rPr>
          <w:rFonts w:ascii="Century Schoolbook" w:hAnsi="Century Schoolbook"/>
          <w:kern w:val="0"/>
          <w:sz w:val="22"/>
          <w:szCs w:val="22"/>
        </w:rPr>
        <w:t>A</w:t>
      </w:r>
      <w:r w:rsidR="001D26BE" w:rsidRPr="00C9399A">
        <w:rPr>
          <w:rFonts w:ascii="Century Schoolbook" w:hAnsi="Century Schoolbook"/>
          <w:kern w:val="0"/>
          <w:sz w:val="22"/>
          <w:szCs w:val="22"/>
        </w:rPr>
        <w:t xml:space="preserve"> mutation (change in the genetic code) in which one base or two adjacent bases are </w:t>
      </w:r>
      <w:r w:rsidR="001D26BE" w:rsidRPr="00C9399A">
        <w:rPr>
          <w:rFonts w:ascii="Century Schoolbook" w:hAnsi="Century Schoolbook"/>
          <w:kern w:val="0"/>
          <w:sz w:val="22"/>
          <w:szCs w:val="22"/>
        </w:rPr>
        <w:lastRenderedPageBreak/>
        <w:t>added to (inserted in) or deleted from the nucleotide sequence of a gene.  This can lead to an altered or truncated protein.</w:t>
      </w:r>
    </w:p>
    <w:p w:rsidR="00B71D08" w:rsidRPr="00B71D08" w:rsidRDefault="001D26BE" w:rsidP="00B71D08">
      <w:pPr>
        <w:autoSpaceDE w:val="0"/>
        <w:autoSpaceDN w:val="0"/>
        <w:adjustRightInd w:val="0"/>
        <w:spacing w:before="120" w:after="40"/>
        <w:textAlignment w:val="bottom"/>
        <w:rPr>
          <w:rFonts w:ascii="Century Schoolbook" w:hAnsi="Century Schoolbook"/>
          <w:iCs/>
          <w:kern w:val="0"/>
          <w:sz w:val="22"/>
          <w:szCs w:val="22"/>
        </w:rPr>
      </w:pPr>
      <w:r w:rsidRPr="00B71D08">
        <w:rPr>
          <w:rFonts w:ascii="Century Schoolbook" w:hAnsi="Century Schoolbook"/>
          <w:b/>
          <w:iCs/>
          <w:kern w:val="0"/>
          <w:sz w:val="22"/>
          <w:szCs w:val="22"/>
        </w:rPr>
        <w:t>Gene mutation:</w:t>
      </w:r>
      <w:r w:rsidRPr="00B71D08">
        <w:rPr>
          <w:rFonts w:ascii="Century Schoolbook" w:hAnsi="Century Schoolbook"/>
          <w:iCs/>
          <w:kern w:val="0"/>
          <w:sz w:val="22"/>
          <w:szCs w:val="22"/>
        </w:rPr>
        <w:t xml:space="preserve"> </w:t>
      </w:r>
    </w:p>
    <w:p w:rsidR="001D26BE" w:rsidRPr="00C9399A" w:rsidRDefault="00B71D08" w:rsidP="004A62F4">
      <w:pPr>
        <w:autoSpaceDE w:val="0"/>
        <w:autoSpaceDN w:val="0"/>
        <w:adjustRightInd w:val="0"/>
        <w:spacing w:after="120"/>
        <w:textAlignment w:val="bottom"/>
        <w:rPr>
          <w:rFonts w:ascii="Century Schoolbook" w:hAnsi="Century Schoolbook"/>
          <w:kern w:val="0"/>
          <w:sz w:val="22"/>
          <w:szCs w:val="22"/>
        </w:rPr>
      </w:pPr>
      <w:proofErr w:type="gramStart"/>
      <w:r w:rsidRPr="00B71D08">
        <w:rPr>
          <w:rFonts w:ascii="Century Schoolbook" w:hAnsi="Century Schoolbook"/>
          <w:iCs/>
          <w:kern w:val="0"/>
          <w:sz w:val="22"/>
          <w:szCs w:val="22"/>
        </w:rPr>
        <w:t>A</w:t>
      </w:r>
      <w:r w:rsidR="001D26BE" w:rsidRPr="00C9399A">
        <w:rPr>
          <w:rFonts w:ascii="Century Schoolbook" w:hAnsi="Century Schoolbook"/>
          <w:kern w:val="0"/>
          <w:sz w:val="22"/>
          <w:szCs w:val="22"/>
        </w:rPr>
        <w:t xml:space="preserve"> detectable permanent change within a single gene or its regulating sequences.</w:t>
      </w:r>
      <w:proofErr w:type="gramEnd"/>
      <w:r w:rsidR="001D26BE" w:rsidRPr="00C9399A">
        <w:rPr>
          <w:rFonts w:ascii="Century Schoolbook" w:hAnsi="Century Schoolbook"/>
          <w:kern w:val="0"/>
          <w:sz w:val="22"/>
          <w:szCs w:val="22"/>
        </w:rPr>
        <w:t xml:space="preserve">  The changes can be point mutations, insertions, or deletions.</w:t>
      </w:r>
    </w:p>
    <w:p w:rsidR="00B71D08" w:rsidRPr="00B71D08" w:rsidRDefault="001D26BE" w:rsidP="00B71D08">
      <w:pPr>
        <w:autoSpaceDE w:val="0"/>
        <w:autoSpaceDN w:val="0"/>
        <w:adjustRightInd w:val="0"/>
        <w:spacing w:before="120" w:after="40"/>
        <w:textAlignment w:val="bottom"/>
        <w:rPr>
          <w:rFonts w:ascii="Century Schoolbook" w:hAnsi="Century Schoolbook"/>
          <w:iCs/>
          <w:kern w:val="0"/>
          <w:sz w:val="22"/>
          <w:szCs w:val="22"/>
        </w:rPr>
      </w:pPr>
      <w:r w:rsidRPr="00B71D08">
        <w:rPr>
          <w:rFonts w:ascii="Century Schoolbook" w:hAnsi="Century Schoolbook"/>
          <w:b/>
          <w:iCs/>
          <w:kern w:val="0"/>
          <w:sz w:val="22"/>
          <w:szCs w:val="22"/>
        </w:rPr>
        <w:t>Genetic endpoint:</w:t>
      </w:r>
      <w:r w:rsidRPr="00B71D08">
        <w:rPr>
          <w:rFonts w:ascii="Century Schoolbook" w:hAnsi="Century Schoolbook"/>
          <w:iCs/>
          <w:kern w:val="0"/>
          <w:sz w:val="22"/>
          <w:szCs w:val="22"/>
        </w:rPr>
        <w:t xml:space="preserve"> </w:t>
      </w:r>
    </w:p>
    <w:p w:rsidR="001D26BE" w:rsidRPr="00C9399A" w:rsidRDefault="00B71D08" w:rsidP="004A62F4">
      <w:pPr>
        <w:autoSpaceDE w:val="0"/>
        <w:autoSpaceDN w:val="0"/>
        <w:adjustRightInd w:val="0"/>
        <w:spacing w:after="120"/>
        <w:textAlignment w:val="bottom"/>
        <w:rPr>
          <w:rFonts w:ascii="Century Schoolbook" w:hAnsi="Century Schoolbook"/>
          <w:kern w:val="0"/>
          <w:sz w:val="22"/>
          <w:szCs w:val="22"/>
        </w:rPr>
      </w:pPr>
      <w:r w:rsidRPr="00B71D08">
        <w:rPr>
          <w:rFonts w:ascii="Century Schoolbook" w:hAnsi="Century Schoolbook"/>
          <w:iCs/>
          <w:kern w:val="0"/>
          <w:sz w:val="22"/>
          <w:szCs w:val="22"/>
        </w:rPr>
        <w:t>T</w:t>
      </w:r>
      <w:r w:rsidR="001D26BE" w:rsidRPr="00C9399A">
        <w:rPr>
          <w:rFonts w:ascii="Century Schoolbook" w:hAnsi="Century Schoolbook"/>
          <w:kern w:val="0"/>
          <w:sz w:val="22"/>
          <w:szCs w:val="22"/>
        </w:rPr>
        <w:t xml:space="preserve">he precise type or class of genetic change investigated (e.g., gene mutations, chromosomal aberrations, DNA strand breaks, DNA repair, DNA adduct formation, etc).  </w:t>
      </w:r>
    </w:p>
    <w:p w:rsidR="00B71D08" w:rsidRPr="00B71D08" w:rsidRDefault="001D26BE" w:rsidP="00B71D08">
      <w:pPr>
        <w:autoSpaceDE w:val="0"/>
        <w:autoSpaceDN w:val="0"/>
        <w:adjustRightInd w:val="0"/>
        <w:spacing w:before="120" w:after="40"/>
        <w:textAlignment w:val="bottom"/>
        <w:rPr>
          <w:rFonts w:ascii="Century Schoolbook" w:hAnsi="Century Schoolbook"/>
          <w:kern w:val="0"/>
          <w:sz w:val="22"/>
          <w:szCs w:val="22"/>
        </w:rPr>
      </w:pPr>
      <w:proofErr w:type="spellStart"/>
      <w:r w:rsidRPr="00B71D08">
        <w:rPr>
          <w:rFonts w:ascii="Century Schoolbook" w:hAnsi="Century Schoolbook"/>
          <w:b/>
          <w:iCs/>
          <w:kern w:val="0"/>
          <w:sz w:val="22"/>
          <w:szCs w:val="22"/>
        </w:rPr>
        <w:t>Genotoxicity</w:t>
      </w:r>
      <w:proofErr w:type="spellEnd"/>
      <w:r w:rsidRPr="00B71D08">
        <w:rPr>
          <w:rFonts w:ascii="Century Schoolbook" w:hAnsi="Century Schoolbook"/>
          <w:b/>
          <w:iCs/>
          <w:kern w:val="0"/>
          <w:sz w:val="22"/>
          <w:szCs w:val="22"/>
        </w:rPr>
        <w:t>:</w:t>
      </w:r>
      <w:r w:rsidRPr="00B71D08">
        <w:rPr>
          <w:rFonts w:ascii="Century Schoolbook" w:hAnsi="Century Schoolbook"/>
          <w:iCs/>
          <w:kern w:val="0"/>
          <w:sz w:val="22"/>
          <w:szCs w:val="22"/>
        </w:rPr>
        <w:t xml:space="preserve"> </w:t>
      </w:r>
    </w:p>
    <w:p w:rsidR="001D26BE" w:rsidRPr="00C9399A" w:rsidRDefault="00B71D08" w:rsidP="004A62F4">
      <w:pPr>
        <w:autoSpaceDE w:val="0"/>
        <w:autoSpaceDN w:val="0"/>
        <w:adjustRightInd w:val="0"/>
        <w:spacing w:after="120"/>
        <w:textAlignment w:val="bottom"/>
        <w:rPr>
          <w:rFonts w:ascii="Century Schoolbook" w:hAnsi="Century Schoolbook"/>
          <w:kern w:val="0"/>
          <w:sz w:val="22"/>
          <w:szCs w:val="22"/>
        </w:rPr>
      </w:pPr>
      <w:proofErr w:type="gramStart"/>
      <w:r>
        <w:rPr>
          <w:rFonts w:ascii="Century Schoolbook" w:hAnsi="Century Schoolbook"/>
          <w:kern w:val="0"/>
          <w:sz w:val="22"/>
          <w:szCs w:val="22"/>
        </w:rPr>
        <w:t>A</w:t>
      </w:r>
      <w:r w:rsidR="001D26BE" w:rsidRPr="00C9399A">
        <w:rPr>
          <w:rFonts w:ascii="Century Schoolbook" w:hAnsi="Century Schoolbook"/>
          <w:kern w:val="0"/>
          <w:sz w:val="22"/>
          <w:szCs w:val="22"/>
        </w:rPr>
        <w:t xml:space="preserve"> broad term that refers to any deleterious change in the genetic material regardless of the mechanism by which the change is induced.</w:t>
      </w:r>
      <w:proofErr w:type="gramEnd"/>
    </w:p>
    <w:p w:rsidR="00B71D08" w:rsidRPr="00B71D08" w:rsidRDefault="001D26BE" w:rsidP="00B71D08">
      <w:pPr>
        <w:autoSpaceDE w:val="0"/>
        <w:autoSpaceDN w:val="0"/>
        <w:adjustRightInd w:val="0"/>
        <w:spacing w:before="120" w:after="40"/>
        <w:textAlignment w:val="bottom"/>
        <w:rPr>
          <w:rFonts w:ascii="Century Schoolbook" w:hAnsi="Century Schoolbook"/>
          <w:iCs/>
          <w:kern w:val="0"/>
          <w:sz w:val="22"/>
          <w:szCs w:val="22"/>
        </w:rPr>
      </w:pPr>
      <w:bookmarkStart w:id="111" w:name="OLE_LINK15"/>
      <w:bookmarkStart w:id="112" w:name="OLE_LINK16"/>
      <w:bookmarkStart w:id="113" w:name="OLE_LINK17"/>
      <w:bookmarkStart w:id="114" w:name="OLE_LINK18"/>
      <w:r w:rsidRPr="00B71D08">
        <w:rPr>
          <w:rFonts w:ascii="Century Schoolbook" w:hAnsi="Century Schoolbook"/>
          <w:b/>
          <w:iCs/>
          <w:kern w:val="0"/>
          <w:sz w:val="22"/>
          <w:szCs w:val="22"/>
        </w:rPr>
        <w:t>Micronucleus:</w:t>
      </w:r>
      <w:r w:rsidRPr="00B71D08">
        <w:rPr>
          <w:rFonts w:ascii="Century Schoolbook" w:hAnsi="Century Schoolbook"/>
          <w:iCs/>
          <w:kern w:val="0"/>
          <w:sz w:val="22"/>
          <w:szCs w:val="22"/>
        </w:rPr>
        <w:t xml:space="preserve"> </w:t>
      </w:r>
    </w:p>
    <w:p w:rsidR="001D26BE" w:rsidRPr="00C9399A" w:rsidRDefault="00B71D08" w:rsidP="004A62F4">
      <w:pPr>
        <w:autoSpaceDE w:val="0"/>
        <w:autoSpaceDN w:val="0"/>
        <w:adjustRightInd w:val="0"/>
        <w:spacing w:after="120"/>
        <w:textAlignment w:val="bottom"/>
        <w:rPr>
          <w:rFonts w:ascii="Century Schoolbook" w:hAnsi="Century Schoolbook"/>
          <w:kern w:val="0"/>
          <w:sz w:val="22"/>
          <w:szCs w:val="22"/>
        </w:rPr>
      </w:pPr>
      <w:r>
        <w:rPr>
          <w:rFonts w:ascii="Century Schoolbook" w:hAnsi="Century Schoolbook"/>
          <w:kern w:val="0"/>
          <w:sz w:val="22"/>
          <w:szCs w:val="22"/>
        </w:rPr>
        <w:t>P</w:t>
      </w:r>
      <w:r w:rsidR="001D26BE" w:rsidRPr="00C9399A">
        <w:rPr>
          <w:rFonts w:ascii="Century Schoolbook" w:hAnsi="Century Schoolbook"/>
          <w:kern w:val="0"/>
          <w:sz w:val="22"/>
          <w:szCs w:val="22"/>
        </w:rPr>
        <w:t xml:space="preserve">article in a cell that contains nuclear DNA; it might contain a whole chromosome(s) or a broken centric or </w:t>
      </w:r>
      <w:proofErr w:type="spellStart"/>
      <w:r w:rsidR="001D26BE" w:rsidRPr="00C9399A">
        <w:rPr>
          <w:rFonts w:ascii="Century Schoolbook" w:hAnsi="Century Schoolbook"/>
          <w:kern w:val="0"/>
          <w:sz w:val="22"/>
          <w:szCs w:val="22"/>
        </w:rPr>
        <w:t>acentric</w:t>
      </w:r>
      <w:proofErr w:type="spellEnd"/>
      <w:r w:rsidR="001D26BE" w:rsidRPr="00C9399A">
        <w:rPr>
          <w:rFonts w:ascii="Century Schoolbook" w:hAnsi="Century Schoolbook"/>
          <w:kern w:val="0"/>
          <w:sz w:val="22"/>
          <w:szCs w:val="22"/>
        </w:rPr>
        <w:t xml:space="preserve"> part(s) of chromosome(s).</w:t>
      </w:r>
      <w:bookmarkEnd w:id="111"/>
      <w:bookmarkEnd w:id="112"/>
    </w:p>
    <w:bookmarkEnd w:id="113"/>
    <w:bookmarkEnd w:id="114"/>
    <w:p w:rsidR="00B71D08" w:rsidRPr="00B71D08" w:rsidRDefault="001D26BE" w:rsidP="00B71D08">
      <w:pPr>
        <w:autoSpaceDE w:val="0"/>
        <w:autoSpaceDN w:val="0"/>
        <w:adjustRightInd w:val="0"/>
        <w:spacing w:before="120" w:after="40"/>
        <w:textAlignment w:val="bottom"/>
        <w:rPr>
          <w:rFonts w:ascii="Century Schoolbook" w:hAnsi="Century Schoolbook"/>
          <w:iCs/>
          <w:kern w:val="0"/>
          <w:sz w:val="22"/>
          <w:szCs w:val="22"/>
        </w:rPr>
      </w:pPr>
      <w:r w:rsidRPr="00B71D08">
        <w:rPr>
          <w:rFonts w:ascii="Century Schoolbook" w:hAnsi="Century Schoolbook"/>
          <w:b/>
          <w:iCs/>
          <w:kern w:val="0"/>
          <w:sz w:val="22"/>
          <w:szCs w:val="22"/>
        </w:rPr>
        <w:t>Mitotic index:</w:t>
      </w:r>
      <w:r w:rsidRPr="00B71D08">
        <w:rPr>
          <w:rFonts w:ascii="Century Schoolbook" w:hAnsi="Century Schoolbook"/>
          <w:iCs/>
          <w:kern w:val="0"/>
          <w:sz w:val="22"/>
          <w:szCs w:val="22"/>
        </w:rPr>
        <w:t xml:space="preserve"> </w:t>
      </w:r>
    </w:p>
    <w:p w:rsidR="001D26BE" w:rsidRPr="00C9399A" w:rsidRDefault="00B71D08" w:rsidP="004A62F4">
      <w:pPr>
        <w:autoSpaceDE w:val="0"/>
        <w:autoSpaceDN w:val="0"/>
        <w:adjustRightInd w:val="0"/>
        <w:spacing w:after="120"/>
        <w:textAlignment w:val="bottom"/>
        <w:rPr>
          <w:rFonts w:ascii="Century Schoolbook" w:hAnsi="Century Schoolbook"/>
          <w:kern w:val="0"/>
          <w:sz w:val="22"/>
          <w:szCs w:val="22"/>
        </w:rPr>
      </w:pPr>
      <w:proofErr w:type="gramStart"/>
      <w:r>
        <w:rPr>
          <w:rFonts w:ascii="Century Schoolbook" w:hAnsi="Century Schoolbook"/>
          <w:kern w:val="0"/>
          <w:sz w:val="22"/>
          <w:szCs w:val="22"/>
        </w:rPr>
        <w:t>P</w:t>
      </w:r>
      <w:r w:rsidR="001D26BE" w:rsidRPr="00C9399A">
        <w:rPr>
          <w:rFonts w:ascii="Century Schoolbook" w:hAnsi="Century Schoolbook"/>
          <w:kern w:val="0"/>
          <w:sz w:val="22"/>
          <w:szCs w:val="22"/>
        </w:rPr>
        <w:t>ercentage of cells in the different stages of mitosis amongst the cells not in mitosis (</w:t>
      </w:r>
      <w:proofErr w:type="spellStart"/>
      <w:r w:rsidR="001D26BE" w:rsidRPr="00C9399A">
        <w:rPr>
          <w:rFonts w:ascii="Century Schoolbook" w:hAnsi="Century Schoolbook"/>
          <w:kern w:val="0"/>
          <w:sz w:val="22"/>
          <w:szCs w:val="22"/>
        </w:rPr>
        <w:t>interphase</w:t>
      </w:r>
      <w:proofErr w:type="spellEnd"/>
      <w:r w:rsidR="001D26BE" w:rsidRPr="00C9399A">
        <w:rPr>
          <w:rFonts w:ascii="Century Schoolbook" w:hAnsi="Century Schoolbook"/>
          <w:kern w:val="0"/>
          <w:sz w:val="22"/>
          <w:szCs w:val="22"/>
        </w:rPr>
        <w:t>) in a preparation (slide).</w:t>
      </w:r>
      <w:proofErr w:type="gramEnd"/>
      <w:r w:rsidR="001D26BE" w:rsidRPr="00C9399A">
        <w:rPr>
          <w:rFonts w:ascii="Century Schoolbook" w:hAnsi="Century Schoolbook"/>
          <w:kern w:val="0"/>
          <w:sz w:val="22"/>
          <w:szCs w:val="22"/>
        </w:rPr>
        <w:t xml:space="preserve">  </w:t>
      </w:r>
    </w:p>
    <w:p w:rsidR="00B71D08" w:rsidRPr="00B71D08" w:rsidRDefault="001D26BE" w:rsidP="00B71D08">
      <w:pPr>
        <w:autoSpaceDE w:val="0"/>
        <w:autoSpaceDN w:val="0"/>
        <w:adjustRightInd w:val="0"/>
        <w:spacing w:before="120" w:after="40"/>
        <w:textAlignment w:val="bottom"/>
        <w:rPr>
          <w:rFonts w:ascii="Century Schoolbook" w:hAnsi="Century Schoolbook"/>
          <w:iCs/>
          <w:kern w:val="0"/>
          <w:sz w:val="22"/>
          <w:szCs w:val="22"/>
        </w:rPr>
      </w:pPr>
      <w:r w:rsidRPr="00B71D08">
        <w:rPr>
          <w:rFonts w:ascii="Century Schoolbook" w:hAnsi="Century Schoolbook"/>
          <w:b/>
          <w:iCs/>
          <w:kern w:val="0"/>
          <w:sz w:val="22"/>
          <w:szCs w:val="22"/>
        </w:rPr>
        <w:t>Numerical chromosome changes:</w:t>
      </w:r>
      <w:r w:rsidRPr="00B71D08">
        <w:rPr>
          <w:rFonts w:ascii="Century Schoolbook" w:hAnsi="Century Schoolbook"/>
          <w:iCs/>
          <w:kern w:val="0"/>
          <w:sz w:val="22"/>
          <w:szCs w:val="22"/>
        </w:rPr>
        <w:t xml:space="preserve"> </w:t>
      </w:r>
    </w:p>
    <w:p w:rsidR="001D26BE" w:rsidRPr="00C9399A" w:rsidRDefault="00B71D08" w:rsidP="004A62F4">
      <w:pPr>
        <w:autoSpaceDE w:val="0"/>
        <w:autoSpaceDN w:val="0"/>
        <w:adjustRightInd w:val="0"/>
        <w:spacing w:after="120"/>
        <w:textAlignment w:val="bottom"/>
        <w:rPr>
          <w:rFonts w:ascii="Century Schoolbook" w:hAnsi="Century Schoolbook"/>
          <w:kern w:val="0"/>
          <w:sz w:val="22"/>
          <w:szCs w:val="22"/>
        </w:rPr>
      </w:pPr>
      <w:r>
        <w:rPr>
          <w:rFonts w:ascii="Century Schoolbook" w:hAnsi="Century Schoolbook"/>
          <w:iCs/>
          <w:kern w:val="0"/>
          <w:sz w:val="22"/>
          <w:szCs w:val="22"/>
        </w:rPr>
        <w:t>C</w:t>
      </w:r>
      <w:r w:rsidR="001D26BE" w:rsidRPr="00C9399A">
        <w:rPr>
          <w:rFonts w:ascii="Century Schoolbook" w:hAnsi="Century Schoolbook"/>
          <w:kern w:val="0"/>
          <w:sz w:val="22"/>
          <w:szCs w:val="22"/>
        </w:rPr>
        <w:t>hromosome numbers different from the original haploid or diploid set of chromosomes; for cell lines, chromosome numbers different from the modal chromosome set.</w:t>
      </w:r>
    </w:p>
    <w:p w:rsidR="00B71D08" w:rsidRPr="00B71D08" w:rsidRDefault="001D26BE" w:rsidP="00B71D08">
      <w:pPr>
        <w:autoSpaceDE w:val="0"/>
        <w:autoSpaceDN w:val="0"/>
        <w:adjustRightInd w:val="0"/>
        <w:spacing w:before="120" w:after="40"/>
        <w:textAlignment w:val="bottom"/>
        <w:rPr>
          <w:rFonts w:ascii="Century Schoolbook" w:hAnsi="Century Schoolbook"/>
          <w:iCs/>
          <w:kern w:val="0"/>
          <w:sz w:val="22"/>
          <w:szCs w:val="22"/>
        </w:rPr>
      </w:pPr>
      <w:r w:rsidRPr="00B71D08">
        <w:rPr>
          <w:rFonts w:ascii="Century Schoolbook" w:hAnsi="Century Schoolbook"/>
          <w:b/>
          <w:iCs/>
          <w:kern w:val="0"/>
          <w:sz w:val="22"/>
          <w:szCs w:val="22"/>
        </w:rPr>
        <w:t>Plasmid:</w:t>
      </w:r>
      <w:r w:rsidRPr="00B71D08">
        <w:rPr>
          <w:rFonts w:ascii="Century Schoolbook" w:hAnsi="Century Schoolbook"/>
          <w:iCs/>
          <w:kern w:val="0"/>
          <w:sz w:val="22"/>
          <w:szCs w:val="22"/>
        </w:rPr>
        <w:t xml:space="preserve"> </w:t>
      </w:r>
    </w:p>
    <w:p w:rsidR="001D26BE" w:rsidRPr="00C9399A" w:rsidRDefault="00B71D08" w:rsidP="004A62F4">
      <w:pPr>
        <w:autoSpaceDE w:val="0"/>
        <w:autoSpaceDN w:val="0"/>
        <w:adjustRightInd w:val="0"/>
        <w:spacing w:after="120"/>
        <w:textAlignment w:val="bottom"/>
        <w:rPr>
          <w:rFonts w:ascii="Century Schoolbook" w:hAnsi="Century Schoolbook"/>
          <w:kern w:val="0"/>
          <w:sz w:val="22"/>
          <w:szCs w:val="22"/>
        </w:rPr>
      </w:pPr>
      <w:proofErr w:type="gramStart"/>
      <w:r>
        <w:rPr>
          <w:rFonts w:ascii="Century Schoolbook" w:hAnsi="Century Schoolbook"/>
          <w:kern w:val="0"/>
          <w:sz w:val="22"/>
          <w:szCs w:val="22"/>
        </w:rPr>
        <w:t>G</w:t>
      </w:r>
      <w:r w:rsidR="001D26BE" w:rsidRPr="00C9399A">
        <w:rPr>
          <w:rFonts w:ascii="Century Schoolbook" w:hAnsi="Century Schoolbook"/>
          <w:kern w:val="0"/>
          <w:sz w:val="22"/>
          <w:szCs w:val="22"/>
        </w:rPr>
        <w:t>enetic element additional to the normal bacterial genome.</w:t>
      </w:r>
      <w:proofErr w:type="gramEnd"/>
      <w:r w:rsidR="001D26BE" w:rsidRPr="00C9399A">
        <w:rPr>
          <w:rFonts w:ascii="Century Schoolbook" w:hAnsi="Century Schoolbook"/>
          <w:kern w:val="0"/>
          <w:sz w:val="22"/>
          <w:szCs w:val="22"/>
        </w:rPr>
        <w:t xml:space="preserve">  A plasmid might be inserted into the host chromosome or form an extra-chromosomal element.</w:t>
      </w:r>
    </w:p>
    <w:p w:rsidR="00B71D08" w:rsidRPr="00B71D08" w:rsidRDefault="001D26BE" w:rsidP="00B71D08">
      <w:pPr>
        <w:autoSpaceDE w:val="0"/>
        <w:autoSpaceDN w:val="0"/>
        <w:adjustRightInd w:val="0"/>
        <w:spacing w:before="120" w:after="40"/>
        <w:textAlignment w:val="bottom"/>
        <w:rPr>
          <w:rFonts w:ascii="Century Schoolbook" w:hAnsi="Century Schoolbook"/>
          <w:b/>
          <w:iCs/>
          <w:kern w:val="0"/>
          <w:sz w:val="22"/>
          <w:szCs w:val="22"/>
        </w:rPr>
      </w:pPr>
      <w:r w:rsidRPr="00B71D08">
        <w:rPr>
          <w:rFonts w:ascii="Century Schoolbook" w:hAnsi="Century Schoolbook"/>
          <w:b/>
          <w:iCs/>
          <w:kern w:val="0"/>
          <w:sz w:val="22"/>
          <w:szCs w:val="22"/>
        </w:rPr>
        <w:t xml:space="preserve">Point mutations: </w:t>
      </w:r>
    </w:p>
    <w:p w:rsidR="001D26BE" w:rsidRPr="00C9399A" w:rsidRDefault="00B71D08" w:rsidP="004A62F4">
      <w:pPr>
        <w:autoSpaceDE w:val="0"/>
        <w:autoSpaceDN w:val="0"/>
        <w:adjustRightInd w:val="0"/>
        <w:spacing w:after="120"/>
        <w:textAlignment w:val="bottom"/>
        <w:rPr>
          <w:rFonts w:ascii="Century Schoolbook" w:hAnsi="Century Schoolbook"/>
          <w:kern w:val="0"/>
          <w:sz w:val="22"/>
          <w:szCs w:val="22"/>
        </w:rPr>
      </w:pPr>
      <w:r>
        <w:rPr>
          <w:rFonts w:ascii="Century Schoolbook" w:hAnsi="Century Schoolbook"/>
          <w:kern w:val="0"/>
          <w:sz w:val="22"/>
          <w:szCs w:val="22"/>
        </w:rPr>
        <w:t>C</w:t>
      </w:r>
      <w:r w:rsidR="001D26BE" w:rsidRPr="00C9399A">
        <w:rPr>
          <w:rFonts w:ascii="Century Schoolbook" w:hAnsi="Century Schoolbook"/>
          <w:kern w:val="0"/>
          <w:sz w:val="22"/>
          <w:szCs w:val="22"/>
        </w:rPr>
        <w:t xml:space="preserve">hanges in the genetic </w:t>
      </w:r>
      <w:proofErr w:type="gramStart"/>
      <w:r w:rsidR="001D26BE" w:rsidRPr="00C9399A">
        <w:rPr>
          <w:rFonts w:ascii="Century Schoolbook" w:hAnsi="Century Schoolbook"/>
          <w:kern w:val="0"/>
          <w:sz w:val="22"/>
          <w:szCs w:val="22"/>
        </w:rPr>
        <w:t>codes,</w:t>
      </w:r>
      <w:proofErr w:type="gramEnd"/>
      <w:r w:rsidR="001D26BE" w:rsidRPr="00C9399A">
        <w:rPr>
          <w:rFonts w:ascii="Century Schoolbook" w:hAnsi="Century Schoolbook"/>
          <w:kern w:val="0"/>
          <w:sz w:val="22"/>
          <w:szCs w:val="22"/>
        </w:rPr>
        <w:t xml:space="preserve"> usually confined to a single DNA base pair.</w:t>
      </w:r>
    </w:p>
    <w:p w:rsidR="00B71D08" w:rsidRPr="00B71D08" w:rsidRDefault="001D26BE" w:rsidP="00B71D08">
      <w:pPr>
        <w:autoSpaceDE w:val="0"/>
        <w:autoSpaceDN w:val="0"/>
        <w:adjustRightInd w:val="0"/>
        <w:spacing w:before="120" w:after="40"/>
        <w:textAlignment w:val="bottom"/>
        <w:rPr>
          <w:rFonts w:ascii="Century Schoolbook" w:hAnsi="Century Schoolbook"/>
          <w:iCs/>
          <w:kern w:val="0"/>
          <w:sz w:val="22"/>
          <w:szCs w:val="22"/>
        </w:rPr>
      </w:pPr>
      <w:r w:rsidRPr="00B71D08">
        <w:rPr>
          <w:rFonts w:ascii="Century Schoolbook" w:hAnsi="Century Schoolbook"/>
          <w:b/>
          <w:iCs/>
          <w:kern w:val="0"/>
          <w:sz w:val="22"/>
          <w:szCs w:val="22"/>
        </w:rPr>
        <w:t>Polychromatic erythrocyte:</w:t>
      </w:r>
      <w:r w:rsidRPr="00B71D08">
        <w:rPr>
          <w:rFonts w:ascii="Century Schoolbook" w:hAnsi="Century Schoolbook"/>
          <w:iCs/>
          <w:kern w:val="0"/>
          <w:sz w:val="22"/>
          <w:szCs w:val="22"/>
        </w:rPr>
        <w:t xml:space="preserve"> </w:t>
      </w:r>
    </w:p>
    <w:p w:rsidR="001D26BE" w:rsidRPr="00C9399A" w:rsidRDefault="00B71D08" w:rsidP="004A62F4">
      <w:pPr>
        <w:autoSpaceDE w:val="0"/>
        <w:autoSpaceDN w:val="0"/>
        <w:adjustRightInd w:val="0"/>
        <w:spacing w:after="120"/>
        <w:textAlignment w:val="bottom"/>
        <w:rPr>
          <w:rFonts w:ascii="Century Schoolbook" w:hAnsi="Century Schoolbook"/>
          <w:kern w:val="0"/>
          <w:sz w:val="22"/>
          <w:szCs w:val="22"/>
        </w:rPr>
      </w:pPr>
      <w:proofErr w:type="gramStart"/>
      <w:r>
        <w:rPr>
          <w:rFonts w:ascii="Century Schoolbook" w:hAnsi="Century Schoolbook"/>
          <w:iCs/>
          <w:kern w:val="0"/>
          <w:sz w:val="22"/>
          <w:szCs w:val="22"/>
        </w:rPr>
        <w:t>A</w:t>
      </w:r>
      <w:r w:rsidR="001D26BE" w:rsidRPr="00C9399A">
        <w:rPr>
          <w:rFonts w:ascii="Century Schoolbook" w:hAnsi="Century Schoolbook"/>
          <w:kern w:val="0"/>
          <w:sz w:val="22"/>
          <w:szCs w:val="22"/>
        </w:rPr>
        <w:t xml:space="preserve">n immature erythrocyte in an intermediate stage of development that still contains </w:t>
      </w:r>
      <w:proofErr w:type="spellStart"/>
      <w:r w:rsidR="001D26BE" w:rsidRPr="00C9399A">
        <w:rPr>
          <w:rFonts w:ascii="Century Schoolbook" w:hAnsi="Century Schoolbook"/>
          <w:kern w:val="0"/>
          <w:sz w:val="22"/>
          <w:szCs w:val="22"/>
        </w:rPr>
        <w:t>ribosomes</w:t>
      </w:r>
      <w:proofErr w:type="spellEnd"/>
      <w:r w:rsidR="001D26BE" w:rsidRPr="00C9399A">
        <w:rPr>
          <w:rFonts w:ascii="Century Schoolbook" w:hAnsi="Century Schoolbook"/>
          <w:kern w:val="0"/>
          <w:sz w:val="22"/>
          <w:szCs w:val="22"/>
        </w:rPr>
        <w:t xml:space="preserve"> and, as such, can be distinguished from mature </w:t>
      </w:r>
      <w:proofErr w:type="spellStart"/>
      <w:r w:rsidR="001D26BE" w:rsidRPr="00C9399A">
        <w:rPr>
          <w:rFonts w:ascii="Century Schoolbook" w:hAnsi="Century Schoolbook"/>
          <w:kern w:val="0"/>
          <w:sz w:val="22"/>
          <w:szCs w:val="22"/>
        </w:rPr>
        <w:t>normochromatic</w:t>
      </w:r>
      <w:proofErr w:type="spellEnd"/>
      <w:r w:rsidR="001D26BE" w:rsidRPr="00C9399A">
        <w:rPr>
          <w:rFonts w:ascii="Century Schoolbook" w:hAnsi="Century Schoolbook"/>
          <w:kern w:val="0"/>
          <w:sz w:val="22"/>
          <w:szCs w:val="22"/>
        </w:rPr>
        <w:t xml:space="preserve"> erythrocytes (lacking </w:t>
      </w:r>
      <w:proofErr w:type="spellStart"/>
      <w:r w:rsidR="001D26BE" w:rsidRPr="00C9399A">
        <w:rPr>
          <w:rFonts w:ascii="Century Schoolbook" w:hAnsi="Century Schoolbook"/>
          <w:kern w:val="0"/>
          <w:sz w:val="22"/>
          <w:szCs w:val="22"/>
        </w:rPr>
        <w:t>ribosomes</w:t>
      </w:r>
      <w:proofErr w:type="spellEnd"/>
      <w:r w:rsidR="001D26BE" w:rsidRPr="00C9399A">
        <w:rPr>
          <w:rFonts w:ascii="Century Schoolbook" w:hAnsi="Century Schoolbook"/>
          <w:kern w:val="0"/>
          <w:sz w:val="22"/>
          <w:szCs w:val="22"/>
        </w:rPr>
        <w:t>) by stains selective for RNA.</w:t>
      </w:r>
      <w:proofErr w:type="gramEnd"/>
    </w:p>
    <w:p w:rsidR="00B71D08" w:rsidRPr="00B71D08" w:rsidRDefault="001D26BE" w:rsidP="00B71D08">
      <w:pPr>
        <w:pStyle w:val="BodyText2"/>
        <w:spacing w:before="120" w:after="40" w:line="240" w:lineRule="auto"/>
        <w:rPr>
          <w:rFonts w:ascii="Century Schoolbook" w:hAnsi="Century Schoolbook"/>
          <w:color w:val="000000"/>
          <w:szCs w:val="22"/>
        </w:rPr>
      </w:pPr>
      <w:r w:rsidRPr="00B71D08">
        <w:rPr>
          <w:rFonts w:ascii="Century Schoolbook" w:hAnsi="Century Schoolbook"/>
          <w:b/>
          <w:color w:val="000000"/>
          <w:szCs w:val="22"/>
        </w:rPr>
        <w:t>Polyploidy:</w:t>
      </w:r>
      <w:r w:rsidRPr="00B71D08">
        <w:rPr>
          <w:rFonts w:ascii="Century Schoolbook" w:hAnsi="Century Schoolbook"/>
          <w:color w:val="000000"/>
          <w:szCs w:val="22"/>
        </w:rPr>
        <w:t xml:space="preserve"> </w:t>
      </w:r>
    </w:p>
    <w:p w:rsidR="001D26BE" w:rsidRPr="00C9399A" w:rsidRDefault="001D26BE" w:rsidP="00E44012">
      <w:pPr>
        <w:pStyle w:val="BodyText2"/>
        <w:spacing w:after="120" w:line="240" w:lineRule="auto"/>
        <w:rPr>
          <w:rFonts w:ascii="Century Schoolbook" w:hAnsi="Century Schoolbook"/>
          <w:color w:val="000000"/>
          <w:szCs w:val="22"/>
        </w:rPr>
      </w:pPr>
      <w:proofErr w:type="gramStart"/>
      <w:r w:rsidRPr="00C9399A">
        <w:rPr>
          <w:rFonts w:ascii="Century Schoolbook" w:hAnsi="Century Schoolbook"/>
          <w:color w:val="000000"/>
          <w:szCs w:val="22"/>
        </w:rPr>
        <w:t>Numerical deviation of the modal number of chromosomes in a cell, with approximately whole multiples of the haploid number.</w:t>
      </w:r>
      <w:proofErr w:type="gramEnd"/>
      <w:r w:rsidRPr="00C9399A">
        <w:rPr>
          <w:rFonts w:ascii="Century Schoolbook" w:hAnsi="Century Schoolbook"/>
          <w:color w:val="000000"/>
          <w:szCs w:val="22"/>
        </w:rPr>
        <w:t xml:space="preserve">  </w:t>
      </w:r>
      <w:proofErr w:type="spellStart"/>
      <w:r w:rsidRPr="00C9399A">
        <w:rPr>
          <w:rFonts w:ascii="Century Schoolbook" w:hAnsi="Century Schoolbook"/>
          <w:color w:val="000000"/>
          <w:szCs w:val="22"/>
        </w:rPr>
        <w:t>Endoreduplication</w:t>
      </w:r>
      <w:proofErr w:type="spellEnd"/>
      <w:r w:rsidRPr="00C9399A">
        <w:rPr>
          <w:rFonts w:ascii="Century Schoolbook" w:hAnsi="Century Schoolbook"/>
          <w:color w:val="000000"/>
          <w:szCs w:val="22"/>
        </w:rPr>
        <w:t xml:space="preserve"> is a morphological form of polyploidy in which chromosome pairs are associated at metaphase as “</w:t>
      </w:r>
      <w:proofErr w:type="spellStart"/>
      <w:r w:rsidRPr="00C9399A">
        <w:rPr>
          <w:rFonts w:ascii="Century Schoolbook" w:hAnsi="Century Schoolbook"/>
          <w:color w:val="000000"/>
          <w:szCs w:val="22"/>
        </w:rPr>
        <w:t>diplochromosomes</w:t>
      </w:r>
      <w:proofErr w:type="spellEnd"/>
      <w:r w:rsidRPr="00C9399A">
        <w:rPr>
          <w:rFonts w:ascii="Century Schoolbook" w:hAnsi="Century Schoolbook"/>
          <w:color w:val="000000"/>
          <w:szCs w:val="22"/>
        </w:rPr>
        <w:t>”.</w:t>
      </w:r>
    </w:p>
    <w:p w:rsidR="00B71D08" w:rsidRPr="00B71D08" w:rsidRDefault="001D26BE" w:rsidP="00B71D08">
      <w:pPr>
        <w:pStyle w:val="BodyText2"/>
        <w:spacing w:before="120" w:after="40" w:line="240" w:lineRule="auto"/>
        <w:rPr>
          <w:rFonts w:ascii="Century Schoolbook" w:hAnsi="Century Schoolbook"/>
          <w:color w:val="000000"/>
          <w:szCs w:val="22"/>
        </w:rPr>
      </w:pPr>
      <w:r w:rsidRPr="00B71D08">
        <w:rPr>
          <w:rFonts w:ascii="Century Schoolbook" w:hAnsi="Century Schoolbook"/>
          <w:b/>
          <w:color w:val="000000"/>
          <w:szCs w:val="22"/>
        </w:rPr>
        <w:t>Population doubling or culture growth:</w:t>
      </w:r>
      <w:r w:rsidRPr="00B71D08">
        <w:rPr>
          <w:rFonts w:ascii="Century Schoolbook" w:hAnsi="Century Schoolbook"/>
          <w:color w:val="000000"/>
          <w:szCs w:val="22"/>
        </w:rPr>
        <w:t xml:space="preserve"> </w:t>
      </w:r>
    </w:p>
    <w:p w:rsidR="001D26BE" w:rsidRPr="00C9399A" w:rsidRDefault="001D26BE" w:rsidP="00E44012">
      <w:pPr>
        <w:pStyle w:val="BodyText2"/>
        <w:spacing w:after="120" w:line="240" w:lineRule="auto"/>
        <w:rPr>
          <w:rFonts w:ascii="Century Schoolbook" w:hAnsi="Century Schoolbook"/>
          <w:color w:val="000000"/>
          <w:szCs w:val="22"/>
        </w:rPr>
      </w:pPr>
      <w:r w:rsidRPr="00C9399A">
        <w:rPr>
          <w:rFonts w:ascii="Century Schoolbook" w:hAnsi="Century Schoolbook"/>
          <w:color w:val="000000"/>
          <w:szCs w:val="22"/>
        </w:rPr>
        <w:t xml:space="preserve">This can be calculated in different ways; one example of an appropriate formula is:  Population doublings (PDs) = the log of the ratio of the final count (N) to the starting (baseline) count </w:t>
      </w:r>
      <w:r w:rsidR="002A5938">
        <w:rPr>
          <w:rFonts w:ascii="Century Schoolbook" w:hAnsi="Century Schoolbook"/>
          <w:color w:val="000000"/>
          <w:szCs w:val="22"/>
        </w:rPr>
        <w:t xml:space="preserve">(Xo), divided by the log of 2. </w:t>
      </w:r>
      <w:r w:rsidRPr="00C9399A">
        <w:rPr>
          <w:rFonts w:ascii="Century Schoolbook" w:hAnsi="Century Schoolbook"/>
          <w:color w:val="000000"/>
          <w:szCs w:val="22"/>
        </w:rPr>
        <w:t xml:space="preserve"> That is: PD = [</w:t>
      </w:r>
      <w:proofErr w:type="gramStart"/>
      <w:r w:rsidRPr="00C9399A">
        <w:rPr>
          <w:rFonts w:ascii="Century Schoolbook" w:hAnsi="Century Schoolbook"/>
          <w:color w:val="000000"/>
          <w:szCs w:val="22"/>
        </w:rPr>
        <w:t>log(</w:t>
      </w:r>
      <w:proofErr w:type="gramEnd"/>
      <w:r w:rsidRPr="00C9399A">
        <w:rPr>
          <w:rFonts w:ascii="Century Schoolbook" w:hAnsi="Century Schoolbook"/>
          <w:color w:val="000000"/>
          <w:szCs w:val="22"/>
        </w:rPr>
        <w:t xml:space="preserve">N </w:t>
      </w:r>
      <w:r w:rsidRPr="00C9399A">
        <w:rPr>
          <w:rFonts w:ascii="Century Schoolbook" w:hAnsi="Century Schoolbook"/>
          <w:color w:val="000000"/>
          <w:szCs w:val="22"/>
        </w:rPr>
        <w:sym w:font="Symbol" w:char="F0B8"/>
      </w:r>
      <w:r w:rsidRPr="00C9399A">
        <w:rPr>
          <w:rFonts w:ascii="Century Schoolbook" w:hAnsi="Century Schoolbook"/>
          <w:color w:val="000000"/>
          <w:szCs w:val="22"/>
        </w:rPr>
        <w:t xml:space="preserve"> Xo)] </w:t>
      </w:r>
      <w:r w:rsidRPr="00C9399A">
        <w:rPr>
          <w:rFonts w:ascii="Century Schoolbook" w:hAnsi="Century Schoolbook"/>
          <w:color w:val="000000"/>
          <w:szCs w:val="22"/>
        </w:rPr>
        <w:sym w:font="Symbol" w:char="F0B8"/>
      </w:r>
      <w:r w:rsidRPr="00C9399A">
        <w:rPr>
          <w:rFonts w:ascii="Century Schoolbook" w:hAnsi="Century Schoolbook"/>
          <w:color w:val="000000"/>
          <w:szCs w:val="22"/>
        </w:rPr>
        <w:t xml:space="preserve"> log 2.</w:t>
      </w:r>
    </w:p>
    <w:p w:rsidR="00B71D08" w:rsidRPr="00B71D08" w:rsidRDefault="001D26BE" w:rsidP="00B71D08">
      <w:pPr>
        <w:autoSpaceDE w:val="0"/>
        <w:autoSpaceDN w:val="0"/>
        <w:adjustRightInd w:val="0"/>
        <w:spacing w:before="120" w:after="40"/>
        <w:textAlignment w:val="bottom"/>
        <w:rPr>
          <w:rFonts w:ascii="Century Schoolbook" w:hAnsi="Century Schoolbook"/>
          <w:kern w:val="0"/>
          <w:sz w:val="22"/>
          <w:szCs w:val="22"/>
        </w:rPr>
      </w:pPr>
      <w:r w:rsidRPr="00B71D08">
        <w:rPr>
          <w:rFonts w:ascii="Century Schoolbook" w:hAnsi="Century Schoolbook"/>
          <w:b/>
          <w:iCs/>
          <w:kern w:val="0"/>
          <w:sz w:val="22"/>
          <w:szCs w:val="22"/>
        </w:rPr>
        <w:t>Recombination</w:t>
      </w:r>
      <w:r w:rsidRPr="00B71D08">
        <w:rPr>
          <w:rFonts w:ascii="Century Schoolbook" w:hAnsi="Century Schoolbook"/>
          <w:b/>
          <w:kern w:val="0"/>
          <w:sz w:val="22"/>
          <w:szCs w:val="22"/>
        </w:rPr>
        <w:t>:</w:t>
      </w:r>
      <w:r w:rsidRPr="00B71D08">
        <w:rPr>
          <w:rFonts w:ascii="Century Schoolbook" w:hAnsi="Century Schoolbook"/>
          <w:kern w:val="0"/>
          <w:sz w:val="22"/>
          <w:szCs w:val="22"/>
        </w:rPr>
        <w:t xml:space="preserve"> </w:t>
      </w:r>
    </w:p>
    <w:p w:rsidR="001D26BE" w:rsidRPr="00C9399A" w:rsidRDefault="00B71D08" w:rsidP="004A62F4">
      <w:pPr>
        <w:autoSpaceDE w:val="0"/>
        <w:autoSpaceDN w:val="0"/>
        <w:adjustRightInd w:val="0"/>
        <w:spacing w:after="120"/>
        <w:textAlignment w:val="bottom"/>
        <w:rPr>
          <w:rFonts w:ascii="Century Schoolbook" w:hAnsi="Century Schoolbook"/>
          <w:kern w:val="0"/>
          <w:sz w:val="22"/>
          <w:szCs w:val="22"/>
        </w:rPr>
      </w:pPr>
      <w:proofErr w:type="gramStart"/>
      <w:r>
        <w:rPr>
          <w:rFonts w:ascii="Century Schoolbook" w:hAnsi="Century Schoolbook"/>
          <w:kern w:val="0"/>
          <w:sz w:val="22"/>
          <w:szCs w:val="22"/>
        </w:rPr>
        <w:t>B</w:t>
      </w:r>
      <w:r w:rsidR="001D26BE" w:rsidRPr="00C9399A">
        <w:rPr>
          <w:rFonts w:ascii="Century Schoolbook" w:hAnsi="Century Schoolbook"/>
          <w:kern w:val="0"/>
          <w:sz w:val="22"/>
          <w:szCs w:val="22"/>
        </w:rPr>
        <w:t>reakage and balanced or unbalanced rejoining of DNA.</w:t>
      </w:r>
      <w:proofErr w:type="gramEnd"/>
    </w:p>
    <w:p w:rsidR="00B71D08" w:rsidRPr="00B71D08" w:rsidRDefault="001D26BE" w:rsidP="00B71D08">
      <w:pPr>
        <w:autoSpaceDE w:val="0"/>
        <w:autoSpaceDN w:val="0"/>
        <w:adjustRightInd w:val="0"/>
        <w:spacing w:before="120" w:after="40"/>
        <w:textAlignment w:val="bottom"/>
        <w:rPr>
          <w:rFonts w:ascii="Century Schoolbook" w:hAnsi="Century Schoolbook"/>
          <w:kern w:val="0"/>
          <w:sz w:val="22"/>
          <w:szCs w:val="22"/>
        </w:rPr>
      </w:pPr>
      <w:bookmarkStart w:id="115" w:name="OLE_LINK11"/>
      <w:bookmarkStart w:id="116" w:name="OLE_LINK12"/>
      <w:r w:rsidRPr="00B71D08">
        <w:rPr>
          <w:rFonts w:ascii="Century Schoolbook" w:hAnsi="Century Schoolbook"/>
          <w:b/>
          <w:kern w:val="0"/>
          <w:sz w:val="22"/>
          <w:szCs w:val="22"/>
        </w:rPr>
        <w:t>RTG (relative total growth):</w:t>
      </w:r>
      <w:r w:rsidRPr="00B71D08">
        <w:rPr>
          <w:rFonts w:ascii="Century Schoolbook" w:hAnsi="Century Schoolbook"/>
          <w:kern w:val="0"/>
          <w:sz w:val="22"/>
          <w:szCs w:val="22"/>
        </w:rPr>
        <w:t xml:space="preserve"> </w:t>
      </w:r>
      <w:bookmarkEnd w:id="115"/>
      <w:bookmarkEnd w:id="116"/>
    </w:p>
    <w:p w:rsidR="001D26BE" w:rsidRPr="00C9399A" w:rsidRDefault="001D26BE" w:rsidP="004A62F4">
      <w:pPr>
        <w:autoSpaceDE w:val="0"/>
        <w:autoSpaceDN w:val="0"/>
        <w:adjustRightInd w:val="0"/>
        <w:spacing w:after="120"/>
        <w:textAlignment w:val="bottom"/>
        <w:rPr>
          <w:rFonts w:ascii="Century Schoolbook" w:hAnsi="Century Schoolbook"/>
          <w:kern w:val="0"/>
          <w:sz w:val="22"/>
          <w:szCs w:val="22"/>
        </w:rPr>
      </w:pPr>
      <w:r w:rsidRPr="00C9399A">
        <w:rPr>
          <w:rFonts w:ascii="Century Schoolbook" w:eastAsia="MS PGothic" w:hAnsi="Century Schoolbook"/>
          <w:iCs/>
          <w:sz w:val="22"/>
          <w:szCs w:val="22"/>
        </w:rPr>
        <w:t xml:space="preserve">This measure of </w:t>
      </w:r>
      <w:proofErr w:type="spellStart"/>
      <w:r w:rsidRPr="00C9399A">
        <w:rPr>
          <w:rFonts w:ascii="Century Schoolbook" w:eastAsia="MS PGothic" w:hAnsi="Century Schoolbook"/>
          <w:iCs/>
          <w:sz w:val="22"/>
          <w:szCs w:val="22"/>
        </w:rPr>
        <w:t>cytotoxicity</w:t>
      </w:r>
      <w:proofErr w:type="spellEnd"/>
      <w:r w:rsidRPr="00C9399A">
        <w:rPr>
          <w:rFonts w:ascii="Century Schoolbook" w:eastAsia="MS PGothic" w:hAnsi="Century Schoolbook"/>
          <w:iCs/>
          <w:sz w:val="22"/>
          <w:szCs w:val="22"/>
        </w:rPr>
        <w:t xml:space="preserve"> takes the relative suspension growth (based on cell loss and cell growth from the beginning of treatment to the second day post-treatment) and multiplies it by the relative plating efficiency at the time of cloning for mutant </w:t>
      </w:r>
      <w:r w:rsidRPr="00C9399A">
        <w:rPr>
          <w:rFonts w:ascii="Century Schoolbook" w:eastAsia="MS PGothic" w:hAnsi="Century Schoolbook"/>
          <w:iCs/>
          <w:sz w:val="22"/>
          <w:szCs w:val="22"/>
        </w:rPr>
        <w:lastRenderedPageBreak/>
        <w:t>quantization.</w:t>
      </w:r>
    </w:p>
    <w:p w:rsidR="00B71D08" w:rsidRPr="00B71D08" w:rsidRDefault="001D26BE" w:rsidP="00B71D08">
      <w:pPr>
        <w:autoSpaceDE w:val="0"/>
        <w:autoSpaceDN w:val="0"/>
        <w:adjustRightInd w:val="0"/>
        <w:spacing w:before="120" w:after="40"/>
        <w:textAlignment w:val="bottom"/>
        <w:rPr>
          <w:rFonts w:ascii="Century Schoolbook" w:hAnsi="Century Schoolbook"/>
          <w:kern w:val="0"/>
          <w:sz w:val="22"/>
          <w:szCs w:val="22"/>
        </w:rPr>
      </w:pPr>
      <w:r w:rsidRPr="00B71D08">
        <w:rPr>
          <w:rFonts w:ascii="Century Schoolbook" w:hAnsi="Century Schoolbook"/>
          <w:b/>
          <w:kern w:val="0"/>
          <w:sz w:val="22"/>
          <w:szCs w:val="22"/>
        </w:rPr>
        <w:t>Single Cell Gel Electrophoresis assay:</w:t>
      </w:r>
      <w:r w:rsidRPr="00B71D08">
        <w:rPr>
          <w:rFonts w:ascii="Century Schoolbook" w:hAnsi="Century Schoolbook"/>
          <w:kern w:val="0"/>
          <w:sz w:val="22"/>
          <w:szCs w:val="22"/>
        </w:rPr>
        <w:t xml:space="preserve"> </w:t>
      </w:r>
    </w:p>
    <w:p w:rsidR="001D26BE" w:rsidRPr="00C9399A" w:rsidRDefault="001D26BE" w:rsidP="004A62F4">
      <w:pPr>
        <w:autoSpaceDE w:val="0"/>
        <w:autoSpaceDN w:val="0"/>
        <w:adjustRightInd w:val="0"/>
        <w:spacing w:after="120"/>
        <w:textAlignment w:val="bottom"/>
        <w:rPr>
          <w:rFonts w:ascii="Century Schoolbook" w:hAnsi="Century Schoolbook"/>
          <w:i/>
          <w:kern w:val="0"/>
          <w:sz w:val="22"/>
          <w:szCs w:val="22"/>
        </w:rPr>
      </w:pPr>
      <w:proofErr w:type="gramStart"/>
      <w:r w:rsidRPr="00C9399A">
        <w:rPr>
          <w:rFonts w:ascii="Century Schoolbook" w:hAnsi="Century Schoolbook"/>
          <w:kern w:val="0"/>
          <w:sz w:val="22"/>
          <w:szCs w:val="22"/>
        </w:rPr>
        <w:t>Comet assay.</w:t>
      </w:r>
      <w:proofErr w:type="gramEnd"/>
      <w:r w:rsidRPr="00C9399A">
        <w:rPr>
          <w:rFonts w:ascii="Century Schoolbook" w:hAnsi="Century Schoolbook"/>
          <w:kern w:val="0"/>
          <w:sz w:val="22"/>
          <w:szCs w:val="22"/>
        </w:rPr>
        <w:t xml:space="preserve"> </w:t>
      </w:r>
      <w:r w:rsidRPr="00C9399A">
        <w:rPr>
          <w:rFonts w:ascii="Century Schoolbook" w:hAnsi="Century Schoolbook"/>
          <w:i/>
          <w:kern w:val="0"/>
          <w:sz w:val="22"/>
          <w:szCs w:val="22"/>
        </w:rPr>
        <w:t>See DNA strand break assay</w:t>
      </w:r>
      <w:r w:rsidR="006F4F5E">
        <w:rPr>
          <w:rFonts w:ascii="Century Schoolbook" w:hAnsi="Century Schoolbook"/>
          <w:i/>
          <w:kern w:val="0"/>
          <w:sz w:val="22"/>
          <w:szCs w:val="22"/>
        </w:rPr>
        <w:t>.</w:t>
      </w:r>
    </w:p>
    <w:p w:rsidR="00B71D08" w:rsidRPr="00B71D08" w:rsidRDefault="001D26BE" w:rsidP="00B71D08">
      <w:pPr>
        <w:autoSpaceDE w:val="0"/>
        <w:autoSpaceDN w:val="0"/>
        <w:adjustRightInd w:val="0"/>
        <w:spacing w:before="120" w:after="40"/>
        <w:textAlignment w:val="bottom"/>
        <w:rPr>
          <w:rFonts w:ascii="Century Schoolbook" w:hAnsi="Century Schoolbook"/>
          <w:kern w:val="0"/>
          <w:sz w:val="22"/>
          <w:szCs w:val="22"/>
        </w:rPr>
      </w:pPr>
      <w:r w:rsidRPr="00B71D08">
        <w:rPr>
          <w:rFonts w:ascii="Century Schoolbook" w:hAnsi="Century Schoolbook"/>
          <w:b/>
          <w:iCs/>
          <w:kern w:val="0"/>
          <w:sz w:val="22"/>
          <w:szCs w:val="22"/>
        </w:rPr>
        <w:t xml:space="preserve">Survival </w:t>
      </w:r>
      <w:r w:rsidRPr="00B71D08">
        <w:rPr>
          <w:rFonts w:ascii="Century Schoolbook" w:hAnsi="Century Schoolbook"/>
          <w:b/>
          <w:kern w:val="0"/>
          <w:sz w:val="22"/>
          <w:szCs w:val="22"/>
        </w:rPr>
        <w:t xml:space="preserve">(in the context of </w:t>
      </w:r>
      <w:proofErr w:type="spellStart"/>
      <w:r w:rsidRPr="00B71D08">
        <w:rPr>
          <w:rFonts w:ascii="Century Schoolbook" w:hAnsi="Century Schoolbook"/>
          <w:b/>
          <w:kern w:val="0"/>
          <w:sz w:val="22"/>
          <w:szCs w:val="22"/>
        </w:rPr>
        <w:t>mutagenicity</w:t>
      </w:r>
      <w:proofErr w:type="spellEnd"/>
      <w:r w:rsidRPr="00B71D08">
        <w:rPr>
          <w:rFonts w:ascii="Century Schoolbook" w:hAnsi="Century Schoolbook"/>
          <w:b/>
          <w:kern w:val="0"/>
          <w:sz w:val="22"/>
          <w:szCs w:val="22"/>
        </w:rPr>
        <w:t xml:space="preserve"> testing):</w:t>
      </w:r>
      <w:r w:rsidRPr="00B71D08">
        <w:rPr>
          <w:rFonts w:ascii="Century Schoolbook" w:hAnsi="Century Schoolbook"/>
          <w:kern w:val="0"/>
          <w:sz w:val="22"/>
          <w:szCs w:val="22"/>
        </w:rPr>
        <w:t xml:space="preserve"> </w:t>
      </w:r>
    </w:p>
    <w:p w:rsidR="001D26BE" w:rsidRPr="00C9399A" w:rsidRDefault="00B71D08" w:rsidP="004A62F4">
      <w:pPr>
        <w:autoSpaceDE w:val="0"/>
        <w:autoSpaceDN w:val="0"/>
        <w:adjustRightInd w:val="0"/>
        <w:spacing w:after="120"/>
        <w:textAlignment w:val="bottom"/>
        <w:rPr>
          <w:rFonts w:ascii="Century Schoolbook" w:hAnsi="Century Schoolbook"/>
          <w:kern w:val="0"/>
          <w:sz w:val="22"/>
          <w:szCs w:val="22"/>
        </w:rPr>
      </w:pPr>
      <w:proofErr w:type="gramStart"/>
      <w:r>
        <w:rPr>
          <w:rFonts w:ascii="Century Schoolbook" w:hAnsi="Century Schoolbook"/>
          <w:kern w:val="0"/>
          <w:sz w:val="22"/>
          <w:szCs w:val="22"/>
        </w:rPr>
        <w:t>P</w:t>
      </w:r>
      <w:r w:rsidR="001D26BE" w:rsidRPr="00C9399A">
        <w:rPr>
          <w:rFonts w:ascii="Century Schoolbook" w:hAnsi="Century Schoolbook"/>
          <w:kern w:val="0"/>
          <w:sz w:val="22"/>
          <w:szCs w:val="22"/>
        </w:rPr>
        <w:t>roportion of living cells among dead cells, usually determined by staining or colony counting methods after a certain treatment interval.</w:t>
      </w:r>
      <w:proofErr w:type="gramEnd"/>
      <w:r w:rsidR="001D26BE" w:rsidRPr="00C9399A">
        <w:rPr>
          <w:rFonts w:ascii="Century Schoolbook" w:hAnsi="Century Schoolbook"/>
          <w:kern w:val="0"/>
          <w:sz w:val="22"/>
          <w:szCs w:val="22"/>
        </w:rPr>
        <w:t xml:space="preserve"> </w:t>
      </w:r>
    </w:p>
    <w:p w:rsidR="00B71D08" w:rsidRPr="00B71D08" w:rsidRDefault="001D26BE" w:rsidP="00B71D08">
      <w:pPr>
        <w:autoSpaceDE w:val="0"/>
        <w:autoSpaceDN w:val="0"/>
        <w:adjustRightInd w:val="0"/>
        <w:spacing w:before="120" w:after="40"/>
        <w:textAlignment w:val="bottom"/>
        <w:rPr>
          <w:rFonts w:ascii="Century Schoolbook" w:hAnsi="Century Schoolbook"/>
          <w:kern w:val="0"/>
          <w:sz w:val="22"/>
          <w:szCs w:val="22"/>
        </w:rPr>
      </w:pPr>
      <w:proofErr w:type="spellStart"/>
      <w:r w:rsidRPr="00B71D08">
        <w:rPr>
          <w:rFonts w:ascii="Century Schoolbook" w:hAnsi="Century Schoolbook"/>
          <w:b/>
          <w:iCs/>
          <w:kern w:val="0"/>
          <w:sz w:val="22"/>
          <w:szCs w:val="22"/>
        </w:rPr>
        <w:t>Transgene</w:t>
      </w:r>
      <w:proofErr w:type="spellEnd"/>
      <w:r w:rsidRPr="00B71D08">
        <w:rPr>
          <w:rFonts w:ascii="Century Schoolbook" w:hAnsi="Century Schoolbook"/>
          <w:b/>
          <w:kern w:val="0"/>
          <w:sz w:val="22"/>
          <w:szCs w:val="22"/>
        </w:rPr>
        <w:t>:</w:t>
      </w:r>
      <w:r w:rsidRPr="00B71D08">
        <w:rPr>
          <w:rFonts w:ascii="Century Schoolbook" w:hAnsi="Century Schoolbook"/>
          <w:kern w:val="0"/>
          <w:sz w:val="22"/>
          <w:szCs w:val="22"/>
        </w:rPr>
        <w:t xml:space="preserve"> </w:t>
      </w:r>
    </w:p>
    <w:p w:rsidR="001D26BE" w:rsidRPr="00C9399A" w:rsidRDefault="00B71D08" w:rsidP="004A62F4">
      <w:pPr>
        <w:autoSpaceDE w:val="0"/>
        <w:autoSpaceDN w:val="0"/>
        <w:adjustRightInd w:val="0"/>
        <w:spacing w:after="120"/>
        <w:textAlignment w:val="bottom"/>
        <w:rPr>
          <w:rFonts w:ascii="Century Schoolbook" w:hAnsi="Century Schoolbook"/>
          <w:kern w:val="0"/>
          <w:sz w:val="22"/>
          <w:szCs w:val="22"/>
        </w:rPr>
      </w:pPr>
      <w:r>
        <w:rPr>
          <w:rFonts w:ascii="Century Schoolbook" w:hAnsi="Century Schoolbook"/>
          <w:kern w:val="0"/>
          <w:sz w:val="22"/>
          <w:szCs w:val="22"/>
        </w:rPr>
        <w:t>A</w:t>
      </w:r>
      <w:r w:rsidR="001D26BE" w:rsidRPr="00C9399A">
        <w:rPr>
          <w:rFonts w:ascii="Century Schoolbook" w:hAnsi="Century Schoolbook"/>
          <w:kern w:val="0"/>
          <w:sz w:val="22"/>
          <w:szCs w:val="22"/>
        </w:rPr>
        <w:t>n exogenous or foreign gene inserted into the host genome, either into somatic cells or germ line cells.</w:t>
      </w:r>
    </w:p>
    <w:p w:rsidR="00B71D08" w:rsidRPr="00B71D08" w:rsidRDefault="001D26BE" w:rsidP="00B71D08">
      <w:pPr>
        <w:autoSpaceDE w:val="0"/>
        <w:autoSpaceDN w:val="0"/>
        <w:adjustRightInd w:val="0"/>
        <w:spacing w:before="120" w:after="40"/>
        <w:textAlignment w:val="bottom"/>
        <w:rPr>
          <w:rFonts w:ascii="Century Schoolbook" w:hAnsi="Century Schoolbook"/>
          <w:iCs/>
          <w:kern w:val="0"/>
          <w:sz w:val="22"/>
          <w:szCs w:val="22"/>
        </w:rPr>
      </w:pPr>
      <w:r w:rsidRPr="00B71D08">
        <w:rPr>
          <w:rFonts w:ascii="Century Schoolbook" w:hAnsi="Century Schoolbook"/>
          <w:b/>
          <w:iCs/>
          <w:kern w:val="0"/>
          <w:sz w:val="22"/>
          <w:szCs w:val="22"/>
        </w:rPr>
        <w:t>Unscheduled DNA synthesis (UDS):</w:t>
      </w:r>
      <w:r w:rsidRPr="00B71D08">
        <w:rPr>
          <w:rFonts w:ascii="Century Schoolbook" w:hAnsi="Century Schoolbook"/>
          <w:iCs/>
          <w:kern w:val="0"/>
          <w:sz w:val="22"/>
          <w:szCs w:val="22"/>
        </w:rPr>
        <w:t xml:space="preserve"> </w:t>
      </w:r>
    </w:p>
    <w:p w:rsidR="001D26BE" w:rsidRPr="00C9399A" w:rsidRDefault="001D26BE" w:rsidP="004A62F4">
      <w:pPr>
        <w:autoSpaceDE w:val="0"/>
        <w:autoSpaceDN w:val="0"/>
        <w:adjustRightInd w:val="0"/>
        <w:spacing w:after="120"/>
        <w:textAlignment w:val="bottom"/>
        <w:rPr>
          <w:rFonts w:ascii="Century Schoolbook" w:hAnsi="Century Schoolbook"/>
          <w:kern w:val="0"/>
          <w:sz w:val="22"/>
          <w:szCs w:val="22"/>
        </w:rPr>
      </w:pPr>
      <w:proofErr w:type="gramStart"/>
      <w:r w:rsidRPr="00C9399A">
        <w:rPr>
          <w:rFonts w:ascii="Century Schoolbook" w:hAnsi="Century Schoolbook"/>
          <w:kern w:val="0"/>
          <w:sz w:val="22"/>
          <w:szCs w:val="22"/>
        </w:rPr>
        <w:t>DNA synthesis that occurs at some stage in the cell cycle other than S-phase in response to DNA damage.</w:t>
      </w:r>
      <w:proofErr w:type="gramEnd"/>
      <w:r w:rsidRPr="00C9399A">
        <w:rPr>
          <w:rFonts w:ascii="Century Schoolbook" w:hAnsi="Century Schoolbook"/>
          <w:kern w:val="0"/>
          <w:sz w:val="22"/>
          <w:szCs w:val="22"/>
        </w:rPr>
        <w:t xml:space="preserve">  It is usually associated with DNA excision repair.</w:t>
      </w:r>
    </w:p>
    <w:p w:rsidR="001D26BE" w:rsidRPr="00766091" w:rsidRDefault="00766091" w:rsidP="00766091">
      <w:pPr>
        <w:pStyle w:val="Heading1"/>
        <w:numPr>
          <w:ilvl w:val="0"/>
          <w:numId w:val="46"/>
        </w:numPr>
        <w:spacing w:after="180"/>
        <w:ind w:left="720" w:hanging="720"/>
        <w:rPr>
          <w:rFonts w:ascii="Century Schoolbook" w:hAnsi="Century Schoolbook"/>
          <w:smallCaps/>
          <w:kern w:val="0"/>
          <w:sz w:val="22"/>
          <w:szCs w:val="22"/>
        </w:rPr>
      </w:pPr>
      <w:r>
        <w:rPr>
          <w:rFonts w:ascii="Century Schoolbook" w:hAnsi="Century Schoolbook"/>
          <w:kern w:val="0"/>
          <w:sz w:val="22"/>
          <w:szCs w:val="22"/>
          <w:u w:val="single"/>
        </w:rPr>
        <w:br w:type="page"/>
      </w:r>
      <w:bookmarkStart w:id="117" w:name="_Toc309835315"/>
      <w:r w:rsidR="000B3C1E" w:rsidRPr="00766091">
        <w:rPr>
          <w:rFonts w:ascii="Century Schoolbook" w:hAnsi="Century Schoolbook"/>
          <w:smallCaps/>
          <w:kern w:val="0"/>
          <w:sz w:val="22"/>
          <w:szCs w:val="22"/>
        </w:rPr>
        <w:lastRenderedPageBreak/>
        <w:t>References</w:t>
      </w:r>
      <w:bookmarkEnd w:id="117"/>
      <w:r w:rsidR="00FA7F7D">
        <w:rPr>
          <w:rFonts w:ascii="Century Schoolbook" w:hAnsi="Century Schoolbook"/>
          <w:smallCaps/>
          <w:kern w:val="0"/>
          <w:sz w:val="22"/>
          <w:szCs w:val="22"/>
        </w:rPr>
        <w:t xml:space="preserve"> </w:t>
      </w:r>
    </w:p>
    <w:p w:rsidR="001D26BE" w:rsidRPr="00C9399A" w:rsidRDefault="004F5137" w:rsidP="005F7F4A">
      <w:pPr>
        <w:widowControl/>
        <w:rPr>
          <w:rFonts w:ascii="Century Schoolbook" w:hAnsi="Century Schoolbook"/>
          <w:sz w:val="22"/>
          <w:szCs w:val="22"/>
        </w:rPr>
      </w:pPr>
      <w:proofErr w:type="gramStart"/>
      <w:r w:rsidRPr="004F5137">
        <w:rPr>
          <w:rFonts w:ascii="Century Schoolbook" w:hAnsi="Century Schoolbook"/>
          <w:sz w:val="22"/>
          <w:szCs w:val="22"/>
          <w:lang w:val="en-GB"/>
        </w:rPr>
        <w:t xml:space="preserve">Ashby J, </w:t>
      </w:r>
      <w:proofErr w:type="spellStart"/>
      <w:r w:rsidRPr="004F5137">
        <w:rPr>
          <w:rFonts w:ascii="Century Schoolbook" w:hAnsi="Century Schoolbook"/>
          <w:sz w:val="22"/>
          <w:szCs w:val="22"/>
          <w:lang w:val="en-GB"/>
        </w:rPr>
        <w:t>Paton</w:t>
      </w:r>
      <w:proofErr w:type="spellEnd"/>
      <w:r w:rsidRPr="004F5137">
        <w:rPr>
          <w:rFonts w:ascii="Century Schoolbook" w:hAnsi="Century Schoolbook"/>
          <w:sz w:val="22"/>
          <w:szCs w:val="22"/>
          <w:lang w:val="en-GB"/>
        </w:rPr>
        <w:t xml:space="preserve"> D.</w:t>
      </w:r>
      <w:proofErr w:type="gramEnd"/>
      <w:r w:rsidRPr="004F5137">
        <w:rPr>
          <w:rFonts w:ascii="Century Schoolbook" w:hAnsi="Century Schoolbook"/>
          <w:sz w:val="22"/>
          <w:szCs w:val="22"/>
          <w:lang w:val="en-GB"/>
        </w:rPr>
        <w:t xml:space="preserve"> The influence of chemical structure on the extent and sites of </w:t>
      </w:r>
      <w:proofErr w:type="spellStart"/>
      <w:r w:rsidRPr="004F5137">
        <w:rPr>
          <w:rFonts w:ascii="Century Schoolbook" w:hAnsi="Century Schoolbook"/>
          <w:sz w:val="22"/>
          <w:szCs w:val="22"/>
          <w:lang w:val="en-GB"/>
        </w:rPr>
        <w:t>carcinogenesis</w:t>
      </w:r>
      <w:proofErr w:type="spellEnd"/>
      <w:r w:rsidRPr="004F5137">
        <w:rPr>
          <w:rFonts w:ascii="Century Schoolbook" w:hAnsi="Century Schoolbook"/>
          <w:sz w:val="22"/>
          <w:szCs w:val="22"/>
          <w:lang w:val="en-GB"/>
        </w:rPr>
        <w:t xml:space="preserve"> for 522 rodent carcinogens and 55 different human carcinogen exposures.</w:t>
      </w:r>
      <w:proofErr w:type="spellStart"/>
      <w:r w:rsidRPr="00FD6CED">
        <w:t>Mutat</w:t>
      </w:r>
      <w:proofErr w:type="spellEnd"/>
      <w:r w:rsidRPr="00FD6CED">
        <w:t xml:space="preserve"> Res</w:t>
      </w:r>
      <w:r>
        <w:t xml:space="preserve"> 1994</w:t>
      </w:r>
      <w:proofErr w:type="gramStart"/>
      <w:r>
        <w:t>;</w:t>
      </w:r>
      <w:r w:rsidRPr="0057394B">
        <w:t>286:3</w:t>
      </w:r>
      <w:proofErr w:type="gramEnd"/>
      <w:r w:rsidRPr="0057394B">
        <w:t>-74</w:t>
      </w:r>
      <w:r w:rsidR="001D26BE" w:rsidRPr="00C9399A">
        <w:rPr>
          <w:rFonts w:ascii="Century Schoolbook" w:hAnsi="Century Schoolbook"/>
          <w:sz w:val="22"/>
          <w:szCs w:val="22"/>
        </w:rPr>
        <w:t>.</w:t>
      </w:r>
    </w:p>
    <w:p w:rsidR="001D26BE" w:rsidRPr="00C9399A" w:rsidRDefault="001D26BE" w:rsidP="005F7F4A">
      <w:pPr>
        <w:autoSpaceDE w:val="0"/>
        <w:autoSpaceDN w:val="0"/>
        <w:adjustRightInd w:val="0"/>
        <w:textAlignment w:val="bottom"/>
        <w:rPr>
          <w:rFonts w:ascii="Century Schoolbook" w:hAnsi="Century Schoolbook"/>
          <w:sz w:val="22"/>
          <w:szCs w:val="22"/>
        </w:rPr>
      </w:pPr>
    </w:p>
    <w:p w:rsidR="001D26BE" w:rsidRPr="00C9399A" w:rsidRDefault="005F7F4A" w:rsidP="005F7F4A">
      <w:pPr>
        <w:autoSpaceDE w:val="0"/>
        <w:autoSpaceDN w:val="0"/>
        <w:adjustRightInd w:val="0"/>
        <w:textAlignment w:val="bottom"/>
        <w:rPr>
          <w:rFonts w:ascii="Century Schoolbook" w:hAnsi="Century Schoolbook"/>
          <w:sz w:val="22"/>
          <w:szCs w:val="22"/>
        </w:rPr>
      </w:pPr>
      <w:proofErr w:type="spellStart"/>
      <w:proofErr w:type="gramStart"/>
      <w:r w:rsidRPr="005F7F4A">
        <w:rPr>
          <w:rFonts w:ascii="Century Schoolbook" w:hAnsi="Century Schoolbook"/>
          <w:sz w:val="22"/>
          <w:szCs w:val="22"/>
        </w:rPr>
        <w:t>Corvi</w:t>
      </w:r>
      <w:proofErr w:type="spellEnd"/>
      <w:r w:rsidRPr="005F7F4A">
        <w:rPr>
          <w:rFonts w:ascii="Century Schoolbook" w:hAnsi="Century Schoolbook"/>
          <w:sz w:val="22"/>
          <w:szCs w:val="22"/>
        </w:rPr>
        <w:t xml:space="preserve"> R, </w:t>
      </w:r>
      <w:proofErr w:type="spellStart"/>
      <w:r w:rsidRPr="005F7F4A">
        <w:rPr>
          <w:rFonts w:ascii="Century Schoolbook" w:hAnsi="Century Schoolbook"/>
          <w:sz w:val="22"/>
          <w:szCs w:val="22"/>
        </w:rPr>
        <w:t>Albertini</w:t>
      </w:r>
      <w:proofErr w:type="spellEnd"/>
      <w:r w:rsidRPr="005F7F4A">
        <w:rPr>
          <w:rFonts w:ascii="Century Schoolbook" w:hAnsi="Century Schoolbook"/>
          <w:sz w:val="22"/>
          <w:szCs w:val="22"/>
        </w:rPr>
        <w:t xml:space="preserve"> S, </w:t>
      </w:r>
      <w:proofErr w:type="spellStart"/>
      <w:r w:rsidRPr="005F7F4A">
        <w:rPr>
          <w:rFonts w:ascii="Century Schoolbook" w:hAnsi="Century Schoolbook"/>
          <w:sz w:val="22"/>
          <w:szCs w:val="22"/>
        </w:rPr>
        <w:t>Hartung</w:t>
      </w:r>
      <w:proofErr w:type="spellEnd"/>
      <w:r w:rsidRPr="005F7F4A">
        <w:rPr>
          <w:rFonts w:ascii="Century Schoolbook" w:hAnsi="Century Schoolbook"/>
          <w:sz w:val="22"/>
          <w:szCs w:val="22"/>
        </w:rPr>
        <w:t xml:space="preserve"> T, Hoffmann S, </w:t>
      </w:r>
      <w:proofErr w:type="spellStart"/>
      <w:r w:rsidRPr="005F7F4A">
        <w:rPr>
          <w:rFonts w:ascii="Century Schoolbook" w:hAnsi="Century Schoolbook"/>
          <w:sz w:val="22"/>
          <w:szCs w:val="22"/>
        </w:rPr>
        <w:t>Maurici</w:t>
      </w:r>
      <w:proofErr w:type="spellEnd"/>
      <w:r w:rsidRPr="005F7F4A">
        <w:rPr>
          <w:rFonts w:ascii="Century Schoolbook" w:hAnsi="Century Schoolbook"/>
          <w:sz w:val="22"/>
          <w:szCs w:val="22"/>
        </w:rPr>
        <w:t xml:space="preserve"> D, </w:t>
      </w:r>
      <w:proofErr w:type="spellStart"/>
      <w:r w:rsidRPr="005F7F4A">
        <w:rPr>
          <w:rFonts w:ascii="Century Schoolbook" w:hAnsi="Century Schoolbook"/>
          <w:sz w:val="22"/>
          <w:szCs w:val="22"/>
        </w:rPr>
        <w:t>Pfuhler</w:t>
      </w:r>
      <w:proofErr w:type="spellEnd"/>
      <w:r w:rsidRPr="005F7F4A">
        <w:rPr>
          <w:rFonts w:ascii="Century Schoolbook" w:hAnsi="Century Schoolbook"/>
          <w:sz w:val="22"/>
          <w:szCs w:val="22"/>
        </w:rPr>
        <w:t xml:space="preserve"> S et al. ECVAM Retrospective Validation of the </w:t>
      </w:r>
      <w:r w:rsidRPr="00D824ED">
        <w:rPr>
          <w:rFonts w:ascii="Century Schoolbook" w:hAnsi="Century Schoolbook"/>
          <w:i/>
          <w:sz w:val="22"/>
          <w:szCs w:val="22"/>
        </w:rPr>
        <w:t>in vitro</w:t>
      </w:r>
      <w:r w:rsidRPr="005F7F4A">
        <w:rPr>
          <w:rFonts w:ascii="Century Schoolbook" w:hAnsi="Century Schoolbook"/>
          <w:sz w:val="22"/>
          <w:szCs w:val="22"/>
        </w:rPr>
        <w:t xml:space="preserve"> micronucleus test (MNT).</w:t>
      </w:r>
      <w:proofErr w:type="gramEnd"/>
      <w:r>
        <w:rPr>
          <w:rFonts w:ascii="Century Schoolbook" w:hAnsi="Century Schoolbook"/>
          <w:sz w:val="22"/>
          <w:szCs w:val="22"/>
        </w:rPr>
        <w:t xml:space="preserve"> </w:t>
      </w:r>
      <w:r w:rsidR="001D26BE" w:rsidRPr="005F7F4A">
        <w:rPr>
          <w:rFonts w:ascii="Century Schoolbook" w:hAnsi="Century Schoolbook"/>
          <w:sz w:val="22"/>
          <w:szCs w:val="22"/>
        </w:rPr>
        <w:t>Mutagenesis</w:t>
      </w:r>
      <w:r w:rsidR="001D26BE" w:rsidRPr="00C9399A">
        <w:rPr>
          <w:rFonts w:ascii="Century Schoolbook" w:hAnsi="Century Schoolbook"/>
          <w:sz w:val="22"/>
          <w:szCs w:val="22"/>
        </w:rPr>
        <w:t xml:space="preserve"> </w:t>
      </w:r>
      <w:r>
        <w:rPr>
          <w:rFonts w:ascii="Century Schoolbook" w:hAnsi="Century Schoolbook"/>
          <w:sz w:val="22"/>
          <w:szCs w:val="22"/>
        </w:rPr>
        <w:t>2008</w:t>
      </w:r>
      <w:proofErr w:type="gramStart"/>
      <w:r>
        <w:rPr>
          <w:rFonts w:ascii="Century Schoolbook" w:hAnsi="Century Schoolbook"/>
          <w:sz w:val="22"/>
          <w:szCs w:val="22"/>
        </w:rPr>
        <w:t>;</w:t>
      </w:r>
      <w:r w:rsidR="001D26BE" w:rsidRPr="00C9399A">
        <w:rPr>
          <w:rFonts w:ascii="Century Schoolbook" w:hAnsi="Century Schoolbook"/>
          <w:sz w:val="22"/>
          <w:szCs w:val="22"/>
        </w:rPr>
        <w:t>23:271</w:t>
      </w:r>
      <w:proofErr w:type="gramEnd"/>
      <w:r w:rsidR="001D26BE" w:rsidRPr="00C9399A">
        <w:rPr>
          <w:rFonts w:ascii="Century Schoolbook" w:hAnsi="Century Schoolbook"/>
          <w:sz w:val="22"/>
          <w:szCs w:val="22"/>
        </w:rPr>
        <w:t>-283.</w:t>
      </w:r>
    </w:p>
    <w:p w:rsidR="001D26BE" w:rsidRPr="00BB5142" w:rsidRDefault="001D26BE" w:rsidP="005F7F4A">
      <w:pPr>
        <w:autoSpaceDE w:val="0"/>
        <w:autoSpaceDN w:val="0"/>
        <w:adjustRightInd w:val="0"/>
        <w:textAlignment w:val="bottom"/>
        <w:rPr>
          <w:rFonts w:ascii="Century Schoolbook" w:hAnsi="Century Schoolbook"/>
          <w:b/>
          <w:bCs/>
          <w:color w:val="auto"/>
          <w:kern w:val="0"/>
          <w:sz w:val="22"/>
          <w:szCs w:val="22"/>
        </w:rPr>
      </w:pPr>
    </w:p>
    <w:p w:rsidR="001D26BE" w:rsidRDefault="005E6B5E" w:rsidP="005F7F4A">
      <w:pPr>
        <w:autoSpaceDE w:val="0"/>
        <w:autoSpaceDN w:val="0"/>
        <w:adjustRightInd w:val="0"/>
        <w:textAlignment w:val="bottom"/>
        <w:rPr>
          <w:rFonts w:ascii="Century Schoolbook" w:hAnsi="Century Schoolbook"/>
          <w:kern w:val="0"/>
          <w:sz w:val="22"/>
          <w:szCs w:val="22"/>
        </w:rPr>
      </w:pPr>
      <w:r w:rsidRPr="005E6B5E">
        <w:rPr>
          <w:rFonts w:ascii="Century Schoolbook" w:hAnsi="Century Schoolbook"/>
          <w:kern w:val="0"/>
          <w:sz w:val="22"/>
          <w:szCs w:val="22"/>
        </w:rPr>
        <w:t xml:space="preserve">Gatehouse D, Haworth S, </w:t>
      </w:r>
      <w:proofErr w:type="spellStart"/>
      <w:r w:rsidRPr="005E6B5E">
        <w:rPr>
          <w:rFonts w:ascii="Century Schoolbook" w:hAnsi="Century Schoolbook"/>
          <w:kern w:val="0"/>
          <w:sz w:val="22"/>
          <w:szCs w:val="22"/>
        </w:rPr>
        <w:t>Cebula</w:t>
      </w:r>
      <w:proofErr w:type="spellEnd"/>
      <w:r w:rsidRPr="005E6B5E">
        <w:rPr>
          <w:rFonts w:ascii="Century Schoolbook" w:hAnsi="Century Schoolbook"/>
          <w:kern w:val="0"/>
          <w:sz w:val="22"/>
          <w:szCs w:val="22"/>
        </w:rPr>
        <w:t xml:space="preserve"> T, </w:t>
      </w:r>
      <w:proofErr w:type="spellStart"/>
      <w:r w:rsidRPr="005E6B5E">
        <w:rPr>
          <w:rFonts w:ascii="Century Schoolbook" w:hAnsi="Century Schoolbook"/>
          <w:kern w:val="0"/>
          <w:sz w:val="22"/>
          <w:szCs w:val="22"/>
        </w:rPr>
        <w:t>Gocke</w:t>
      </w:r>
      <w:proofErr w:type="spellEnd"/>
      <w:r w:rsidRPr="005E6B5E">
        <w:rPr>
          <w:rFonts w:ascii="Century Schoolbook" w:hAnsi="Century Schoolbook"/>
          <w:kern w:val="0"/>
          <w:sz w:val="22"/>
          <w:szCs w:val="22"/>
        </w:rPr>
        <w:t xml:space="preserve"> E, Kier L, </w:t>
      </w:r>
      <w:proofErr w:type="gramStart"/>
      <w:r w:rsidRPr="005E6B5E">
        <w:rPr>
          <w:rFonts w:ascii="Century Schoolbook" w:hAnsi="Century Schoolbook"/>
          <w:kern w:val="0"/>
          <w:sz w:val="22"/>
          <w:szCs w:val="22"/>
        </w:rPr>
        <w:t>Matsushima</w:t>
      </w:r>
      <w:proofErr w:type="gramEnd"/>
      <w:r w:rsidRPr="005E6B5E">
        <w:rPr>
          <w:rFonts w:ascii="Century Schoolbook" w:hAnsi="Century Schoolbook"/>
          <w:kern w:val="0"/>
          <w:sz w:val="22"/>
          <w:szCs w:val="22"/>
        </w:rPr>
        <w:t xml:space="preserve"> T et al. Report from the working group on bacterial mutation assays: </w:t>
      </w:r>
      <w:r w:rsidR="006A5B9A">
        <w:rPr>
          <w:rFonts w:ascii="Century Schoolbook" w:hAnsi="Century Schoolbook"/>
          <w:kern w:val="0"/>
          <w:sz w:val="22"/>
          <w:szCs w:val="22"/>
        </w:rPr>
        <w:t>i</w:t>
      </w:r>
      <w:r w:rsidRPr="005E6B5E">
        <w:rPr>
          <w:rFonts w:ascii="Century Schoolbook" w:hAnsi="Century Schoolbook"/>
          <w:kern w:val="0"/>
          <w:sz w:val="22"/>
          <w:szCs w:val="22"/>
        </w:rPr>
        <w:t xml:space="preserve">nternational </w:t>
      </w:r>
      <w:r w:rsidR="006A5B9A">
        <w:rPr>
          <w:rFonts w:ascii="Century Schoolbook" w:hAnsi="Century Schoolbook"/>
          <w:kern w:val="0"/>
          <w:sz w:val="22"/>
          <w:szCs w:val="22"/>
        </w:rPr>
        <w:t xml:space="preserve">workshop on </w:t>
      </w:r>
      <w:proofErr w:type="spellStart"/>
      <w:r w:rsidR="006A5B9A">
        <w:rPr>
          <w:rFonts w:ascii="Century Schoolbook" w:hAnsi="Century Schoolbook"/>
          <w:kern w:val="0"/>
          <w:sz w:val="22"/>
          <w:szCs w:val="22"/>
        </w:rPr>
        <w:t>s</w:t>
      </w:r>
      <w:r w:rsidRPr="005E6B5E">
        <w:rPr>
          <w:rFonts w:ascii="Century Schoolbook" w:hAnsi="Century Schoolbook"/>
          <w:kern w:val="0"/>
          <w:sz w:val="22"/>
          <w:szCs w:val="22"/>
        </w:rPr>
        <w:t>tandardisation</w:t>
      </w:r>
      <w:proofErr w:type="spellEnd"/>
      <w:r w:rsidRPr="005E6B5E">
        <w:rPr>
          <w:rFonts w:ascii="Century Schoolbook" w:hAnsi="Century Schoolbook"/>
          <w:kern w:val="0"/>
          <w:sz w:val="22"/>
          <w:szCs w:val="22"/>
        </w:rPr>
        <w:t xml:space="preserve"> of </w:t>
      </w:r>
      <w:proofErr w:type="spellStart"/>
      <w:r w:rsidR="006A5B9A">
        <w:rPr>
          <w:rFonts w:ascii="Century Schoolbook" w:hAnsi="Century Schoolbook"/>
          <w:kern w:val="0"/>
          <w:sz w:val="22"/>
          <w:szCs w:val="22"/>
        </w:rPr>
        <w:t>g</w:t>
      </w:r>
      <w:r w:rsidRPr="005E6B5E">
        <w:rPr>
          <w:rFonts w:ascii="Century Schoolbook" w:hAnsi="Century Schoolbook"/>
          <w:kern w:val="0"/>
          <w:sz w:val="22"/>
          <w:szCs w:val="22"/>
        </w:rPr>
        <w:t>enotoxicity</w:t>
      </w:r>
      <w:proofErr w:type="spellEnd"/>
      <w:r w:rsidRPr="005E6B5E">
        <w:rPr>
          <w:rFonts w:ascii="Century Schoolbook" w:hAnsi="Century Schoolbook"/>
          <w:kern w:val="0"/>
          <w:sz w:val="22"/>
          <w:szCs w:val="22"/>
        </w:rPr>
        <w:t xml:space="preserve"> </w:t>
      </w:r>
      <w:r w:rsidR="006A5B9A">
        <w:rPr>
          <w:rFonts w:ascii="Century Schoolbook" w:hAnsi="Century Schoolbook"/>
          <w:kern w:val="0"/>
          <w:sz w:val="22"/>
          <w:szCs w:val="22"/>
        </w:rPr>
        <w:t>test p</w:t>
      </w:r>
      <w:r w:rsidRPr="005E6B5E">
        <w:rPr>
          <w:rFonts w:ascii="Century Schoolbook" w:hAnsi="Century Schoolbook"/>
          <w:kern w:val="0"/>
          <w:sz w:val="22"/>
          <w:szCs w:val="22"/>
        </w:rPr>
        <w:t xml:space="preserve">rocedures. </w:t>
      </w:r>
      <w:proofErr w:type="spellStart"/>
      <w:r w:rsidRPr="005E6B5E">
        <w:rPr>
          <w:rFonts w:ascii="Century Schoolbook" w:hAnsi="Century Schoolbook"/>
          <w:kern w:val="0"/>
          <w:sz w:val="22"/>
          <w:szCs w:val="22"/>
        </w:rPr>
        <w:t>Mutat</w:t>
      </w:r>
      <w:proofErr w:type="spellEnd"/>
      <w:r w:rsidRPr="005E6B5E">
        <w:rPr>
          <w:rFonts w:ascii="Century Schoolbook" w:hAnsi="Century Schoolbook"/>
          <w:kern w:val="0"/>
          <w:sz w:val="22"/>
          <w:szCs w:val="22"/>
        </w:rPr>
        <w:t xml:space="preserve"> Res 19</w:t>
      </w:r>
      <w:r w:rsidR="00190A91">
        <w:rPr>
          <w:rFonts w:ascii="Century Schoolbook" w:hAnsi="Century Schoolbook"/>
          <w:kern w:val="0"/>
          <w:sz w:val="22"/>
          <w:szCs w:val="22"/>
        </w:rPr>
        <w:t>94</w:t>
      </w:r>
      <w:proofErr w:type="gramStart"/>
      <w:r w:rsidR="00190A91">
        <w:rPr>
          <w:rFonts w:ascii="Century Schoolbook" w:hAnsi="Century Schoolbook"/>
          <w:kern w:val="0"/>
          <w:sz w:val="22"/>
          <w:szCs w:val="22"/>
        </w:rPr>
        <w:t>;312:217</w:t>
      </w:r>
      <w:proofErr w:type="gramEnd"/>
      <w:r w:rsidR="00190A91">
        <w:rPr>
          <w:rFonts w:ascii="Century Schoolbook" w:hAnsi="Century Schoolbook"/>
          <w:kern w:val="0"/>
          <w:sz w:val="22"/>
          <w:szCs w:val="22"/>
        </w:rPr>
        <w:t>-</w:t>
      </w:r>
      <w:r w:rsidRPr="005E6B5E">
        <w:rPr>
          <w:rFonts w:ascii="Century Schoolbook" w:hAnsi="Century Schoolbook"/>
          <w:kern w:val="0"/>
          <w:sz w:val="22"/>
          <w:szCs w:val="22"/>
        </w:rPr>
        <w:t>33.</w:t>
      </w:r>
    </w:p>
    <w:p w:rsidR="005E6B5E" w:rsidRPr="00C9399A" w:rsidRDefault="005E6B5E" w:rsidP="005F7F4A">
      <w:pPr>
        <w:autoSpaceDE w:val="0"/>
        <w:autoSpaceDN w:val="0"/>
        <w:adjustRightInd w:val="0"/>
        <w:textAlignment w:val="bottom"/>
        <w:rPr>
          <w:rFonts w:ascii="Century Schoolbook" w:hAnsi="Century Schoolbook"/>
          <w:kern w:val="0"/>
          <w:sz w:val="22"/>
          <w:szCs w:val="22"/>
        </w:rPr>
      </w:pPr>
    </w:p>
    <w:p w:rsidR="001D26BE" w:rsidRDefault="00CF035D" w:rsidP="005F7F4A">
      <w:pPr>
        <w:autoSpaceDE w:val="0"/>
        <w:autoSpaceDN w:val="0"/>
        <w:adjustRightInd w:val="0"/>
        <w:textAlignment w:val="bottom"/>
        <w:rPr>
          <w:rFonts w:ascii="Century Schoolbook" w:hAnsi="Century Schoolbook"/>
          <w:kern w:val="0"/>
          <w:sz w:val="22"/>
          <w:szCs w:val="22"/>
        </w:rPr>
      </w:pPr>
      <w:proofErr w:type="gramStart"/>
      <w:r w:rsidRPr="00CF035D">
        <w:rPr>
          <w:rFonts w:ascii="Century Schoolbook" w:hAnsi="Century Schoolbook"/>
          <w:kern w:val="0"/>
          <w:sz w:val="22"/>
          <w:szCs w:val="22"/>
        </w:rPr>
        <w:t>Goodman &amp; Gilman.</w:t>
      </w:r>
      <w:proofErr w:type="gramEnd"/>
      <w:r w:rsidRPr="00CF035D">
        <w:rPr>
          <w:rFonts w:ascii="Century Schoolbook" w:hAnsi="Century Schoolbook"/>
          <w:kern w:val="0"/>
          <w:sz w:val="22"/>
          <w:szCs w:val="22"/>
        </w:rPr>
        <w:t xml:space="preserve"> </w:t>
      </w:r>
      <w:proofErr w:type="gramStart"/>
      <w:r w:rsidRPr="00CF035D">
        <w:rPr>
          <w:rFonts w:ascii="Century Schoolbook" w:hAnsi="Century Schoolbook"/>
          <w:kern w:val="0"/>
          <w:sz w:val="22"/>
          <w:szCs w:val="22"/>
        </w:rPr>
        <w:t xml:space="preserve">The </w:t>
      </w:r>
      <w:r w:rsidR="0015267E">
        <w:rPr>
          <w:rFonts w:ascii="Century Schoolbook" w:hAnsi="Century Schoolbook"/>
          <w:kern w:val="0"/>
          <w:sz w:val="22"/>
          <w:szCs w:val="22"/>
        </w:rPr>
        <w:t>pharmacological basis of t</w:t>
      </w:r>
      <w:r w:rsidRPr="00CF035D">
        <w:rPr>
          <w:rFonts w:ascii="Century Schoolbook" w:hAnsi="Century Schoolbook"/>
          <w:kern w:val="0"/>
          <w:sz w:val="22"/>
          <w:szCs w:val="22"/>
        </w:rPr>
        <w:t>herapeutics.</w:t>
      </w:r>
      <w:proofErr w:type="gramEnd"/>
      <w:r w:rsidRPr="00CF035D">
        <w:rPr>
          <w:rFonts w:ascii="Century Schoolbook" w:hAnsi="Century Schoolbook"/>
          <w:kern w:val="0"/>
          <w:sz w:val="22"/>
          <w:szCs w:val="22"/>
        </w:rPr>
        <w:t xml:space="preserve"> </w:t>
      </w:r>
      <w:proofErr w:type="gramStart"/>
      <w:r w:rsidRPr="00CF035D">
        <w:rPr>
          <w:rFonts w:ascii="Century Schoolbook" w:hAnsi="Century Schoolbook"/>
          <w:kern w:val="0"/>
          <w:sz w:val="22"/>
          <w:szCs w:val="22"/>
        </w:rPr>
        <w:t xml:space="preserve">Hardman JG, </w:t>
      </w:r>
      <w:proofErr w:type="spellStart"/>
      <w:r w:rsidRPr="00CF035D">
        <w:rPr>
          <w:rFonts w:ascii="Century Schoolbook" w:hAnsi="Century Schoolbook"/>
          <w:kern w:val="0"/>
          <w:sz w:val="22"/>
          <w:szCs w:val="22"/>
        </w:rPr>
        <w:t>Limbird</w:t>
      </w:r>
      <w:proofErr w:type="spellEnd"/>
      <w:r w:rsidRPr="00CF035D">
        <w:rPr>
          <w:rFonts w:ascii="Century Schoolbook" w:hAnsi="Century Schoolbook"/>
          <w:kern w:val="0"/>
          <w:sz w:val="22"/>
          <w:szCs w:val="22"/>
        </w:rPr>
        <w:t xml:space="preserve"> LE, Gilman AG, editors.</w:t>
      </w:r>
      <w:proofErr w:type="gramEnd"/>
      <w:r w:rsidRPr="00CF035D">
        <w:rPr>
          <w:rFonts w:ascii="Century Schoolbook" w:hAnsi="Century Schoolbook"/>
          <w:kern w:val="0"/>
          <w:sz w:val="22"/>
          <w:szCs w:val="22"/>
        </w:rPr>
        <w:t xml:space="preserve"> 10th </w:t>
      </w:r>
      <w:proofErr w:type="gramStart"/>
      <w:r w:rsidRPr="00CF035D">
        <w:rPr>
          <w:rFonts w:ascii="Century Schoolbook" w:hAnsi="Century Schoolbook"/>
          <w:kern w:val="0"/>
          <w:sz w:val="22"/>
          <w:szCs w:val="22"/>
        </w:rPr>
        <w:t>ed</w:t>
      </w:r>
      <w:proofErr w:type="gramEnd"/>
      <w:r w:rsidRPr="00CF035D">
        <w:rPr>
          <w:rFonts w:ascii="Century Schoolbook" w:hAnsi="Century Schoolbook"/>
          <w:kern w:val="0"/>
          <w:sz w:val="22"/>
          <w:szCs w:val="22"/>
        </w:rPr>
        <w:t>. New</w:t>
      </w:r>
      <w:r w:rsidR="00994679">
        <w:rPr>
          <w:rFonts w:ascii="Century Schoolbook" w:hAnsi="Century Schoolbook"/>
          <w:kern w:val="0"/>
          <w:sz w:val="22"/>
          <w:szCs w:val="22"/>
        </w:rPr>
        <w:t xml:space="preserve"> York: McGraw-Hill Professional</w:t>
      </w:r>
      <w:r w:rsidRPr="00CF035D">
        <w:rPr>
          <w:rFonts w:ascii="Century Schoolbook" w:hAnsi="Century Schoolbook"/>
          <w:kern w:val="0"/>
          <w:sz w:val="22"/>
          <w:szCs w:val="22"/>
        </w:rPr>
        <w:t xml:space="preserve"> </w:t>
      </w:r>
      <w:r w:rsidR="00994679">
        <w:rPr>
          <w:rFonts w:ascii="Century Schoolbook" w:hAnsi="Century Schoolbook"/>
          <w:kern w:val="0"/>
          <w:sz w:val="22"/>
          <w:szCs w:val="22"/>
        </w:rPr>
        <w:t>2001</w:t>
      </w:r>
      <w:r w:rsidRPr="00CF035D">
        <w:rPr>
          <w:rFonts w:ascii="Century Schoolbook" w:hAnsi="Century Schoolbook"/>
          <w:kern w:val="0"/>
          <w:sz w:val="22"/>
          <w:szCs w:val="22"/>
        </w:rPr>
        <w:t>.</w:t>
      </w:r>
    </w:p>
    <w:p w:rsidR="00CF035D" w:rsidRPr="00C9399A" w:rsidRDefault="00CF035D" w:rsidP="005F7F4A">
      <w:pPr>
        <w:autoSpaceDE w:val="0"/>
        <w:autoSpaceDN w:val="0"/>
        <w:adjustRightInd w:val="0"/>
        <w:textAlignment w:val="bottom"/>
        <w:rPr>
          <w:rFonts w:ascii="Century Schoolbook" w:hAnsi="Century Schoolbook"/>
          <w:kern w:val="0"/>
          <w:sz w:val="22"/>
          <w:szCs w:val="22"/>
        </w:rPr>
      </w:pPr>
    </w:p>
    <w:p w:rsidR="001D26BE" w:rsidRDefault="0030266C" w:rsidP="005F7F4A">
      <w:pPr>
        <w:widowControl/>
        <w:rPr>
          <w:rFonts w:ascii="Century Schoolbook" w:hAnsi="Century Schoolbook"/>
          <w:sz w:val="22"/>
          <w:szCs w:val="22"/>
        </w:rPr>
      </w:pPr>
      <w:r w:rsidRPr="0030266C">
        <w:rPr>
          <w:rFonts w:ascii="Century Schoolbook" w:hAnsi="Century Schoolbook"/>
          <w:sz w:val="22"/>
          <w:szCs w:val="22"/>
        </w:rPr>
        <w:t xml:space="preserve">Greenwood SK, Hill RB, Sun JT, Armstrong MJ, Johnson TE, </w:t>
      </w:r>
      <w:proofErr w:type="spellStart"/>
      <w:r w:rsidRPr="0030266C">
        <w:rPr>
          <w:rFonts w:ascii="Century Schoolbook" w:hAnsi="Century Schoolbook"/>
          <w:sz w:val="22"/>
          <w:szCs w:val="22"/>
        </w:rPr>
        <w:t>Gara</w:t>
      </w:r>
      <w:proofErr w:type="spellEnd"/>
      <w:r w:rsidRPr="0030266C">
        <w:rPr>
          <w:rFonts w:ascii="Century Schoolbook" w:hAnsi="Century Schoolbook"/>
          <w:sz w:val="22"/>
          <w:szCs w:val="22"/>
        </w:rPr>
        <w:t xml:space="preserve"> JP et al. Population Doubling: A simple and more accurate estimation of cell growth suppression in the </w:t>
      </w:r>
      <w:r w:rsidRPr="00D824ED">
        <w:rPr>
          <w:rFonts w:ascii="Century Schoolbook" w:hAnsi="Century Schoolbook"/>
          <w:i/>
          <w:sz w:val="22"/>
          <w:szCs w:val="22"/>
        </w:rPr>
        <w:t>in vitro</w:t>
      </w:r>
      <w:r w:rsidRPr="0030266C">
        <w:rPr>
          <w:rFonts w:ascii="Century Schoolbook" w:hAnsi="Century Schoolbook"/>
          <w:sz w:val="22"/>
          <w:szCs w:val="22"/>
        </w:rPr>
        <w:t xml:space="preserve"> assay for chromosomal aberrations that reduces irrelevant positive results. Environ Mol Mutagen 2004</w:t>
      </w:r>
      <w:proofErr w:type="gramStart"/>
      <w:r w:rsidRPr="0030266C">
        <w:rPr>
          <w:rFonts w:ascii="Century Schoolbook" w:hAnsi="Century Schoolbook"/>
          <w:sz w:val="22"/>
          <w:szCs w:val="22"/>
        </w:rPr>
        <w:t>;43:36</w:t>
      </w:r>
      <w:proofErr w:type="gramEnd"/>
      <w:r w:rsidRPr="0030266C">
        <w:rPr>
          <w:rFonts w:ascii="Century Schoolbook" w:hAnsi="Century Schoolbook"/>
          <w:sz w:val="22"/>
          <w:szCs w:val="22"/>
        </w:rPr>
        <w:t>-44.</w:t>
      </w:r>
    </w:p>
    <w:p w:rsidR="0030266C" w:rsidRPr="00C9399A" w:rsidRDefault="0030266C" w:rsidP="005F7F4A">
      <w:pPr>
        <w:widowControl/>
        <w:rPr>
          <w:rFonts w:ascii="Century Schoolbook" w:hAnsi="Century Schoolbook"/>
          <w:sz w:val="22"/>
          <w:szCs w:val="22"/>
        </w:rPr>
      </w:pPr>
    </w:p>
    <w:p w:rsidR="001D26BE" w:rsidRPr="00C9399A" w:rsidRDefault="0030266C" w:rsidP="005F7F4A">
      <w:pPr>
        <w:widowControl/>
        <w:rPr>
          <w:rFonts w:ascii="Century Schoolbook" w:hAnsi="Century Schoolbook"/>
          <w:sz w:val="22"/>
          <w:szCs w:val="22"/>
        </w:rPr>
      </w:pPr>
      <w:r w:rsidRPr="0030266C">
        <w:rPr>
          <w:rFonts w:ascii="Century Schoolbook" w:hAnsi="Century Schoolbook"/>
          <w:sz w:val="22"/>
          <w:szCs w:val="22"/>
        </w:rPr>
        <w:t xml:space="preserve">Hamada S., </w:t>
      </w:r>
      <w:proofErr w:type="spellStart"/>
      <w:r w:rsidRPr="0030266C">
        <w:rPr>
          <w:rFonts w:ascii="Century Schoolbook" w:hAnsi="Century Schoolbook"/>
          <w:sz w:val="22"/>
          <w:szCs w:val="22"/>
        </w:rPr>
        <w:t>Sutou</w:t>
      </w:r>
      <w:proofErr w:type="spellEnd"/>
      <w:r w:rsidRPr="0030266C">
        <w:rPr>
          <w:rFonts w:ascii="Century Schoolbook" w:hAnsi="Century Schoolbook"/>
          <w:sz w:val="22"/>
          <w:szCs w:val="22"/>
        </w:rPr>
        <w:t xml:space="preserve"> S, Morita T, </w:t>
      </w:r>
      <w:proofErr w:type="spellStart"/>
      <w:r w:rsidRPr="0030266C">
        <w:rPr>
          <w:rFonts w:ascii="Century Schoolbook" w:hAnsi="Century Schoolbook"/>
          <w:sz w:val="22"/>
          <w:szCs w:val="22"/>
        </w:rPr>
        <w:t>Wakata</w:t>
      </w:r>
      <w:proofErr w:type="spellEnd"/>
      <w:r w:rsidRPr="0030266C">
        <w:rPr>
          <w:rFonts w:ascii="Century Schoolbook" w:hAnsi="Century Schoolbook"/>
          <w:sz w:val="22"/>
          <w:szCs w:val="22"/>
        </w:rPr>
        <w:t xml:space="preserve"> A, </w:t>
      </w:r>
      <w:proofErr w:type="spellStart"/>
      <w:r w:rsidRPr="0030266C">
        <w:rPr>
          <w:rFonts w:ascii="Century Schoolbook" w:hAnsi="Century Schoolbook"/>
          <w:sz w:val="22"/>
          <w:szCs w:val="22"/>
        </w:rPr>
        <w:t>Asanami</w:t>
      </w:r>
      <w:proofErr w:type="spellEnd"/>
      <w:r w:rsidRPr="0030266C">
        <w:rPr>
          <w:rFonts w:ascii="Century Schoolbook" w:hAnsi="Century Schoolbook"/>
          <w:sz w:val="22"/>
          <w:szCs w:val="22"/>
        </w:rPr>
        <w:t xml:space="preserve"> S, </w:t>
      </w:r>
      <w:proofErr w:type="spellStart"/>
      <w:r w:rsidRPr="0030266C">
        <w:rPr>
          <w:rFonts w:ascii="Century Schoolbook" w:hAnsi="Century Schoolbook"/>
          <w:sz w:val="22"/>
          <w:szCs w:val="22"/>
        </w:rPr>
        <w:t>Hosoya</w:t>
      </w:r>
      <w:proofErr w:type="spellEnd"/>
      <w:r w:rsidRPr="0030266C">
        <w:rPr>
          <w:rFonts w:ascii="Century Schoolbook" w:hAnsi="Century Schoolbook"/>
          <w:sz w:val="22"/>
          <w:szCs w:val="22"/>
        </w:rPr>
        <w:t xml:space="preserve"> S et al. Evaluation of the rodent micronucleus assay by a 28-day treatment protocol: summary of the 13th collaborative study by the collaborative study group for the micronucleus test (CSGMT)/Environmental Mutagen Society of Japan (JEMS)–Mammalian </w:t>
      </w:r>
      <w:proofErr w:type="spellStart"/>
      <w:r w:rsidRPr="0030266C">
        <w:rPr>
          <w:rFonts w:ascii="Century Schoolbook" w:hAnsi="Century Schoolbook"/>
          <w:sz w:val="22"/>
          <w:szCs w:val="22"/>
        </w:rPr>
        <w:t>Mutagenicity</w:t>
      </w:r>
      <w:proofErr w:type="spellEnd"/>
      <w:r w:rsidRPr="0030266C">
        <w:rPr>
          <w:rFonts w:ascii="Century Schoolbook" w:hAnsi="Century Schoolbook"/>
          <w:sz w:val="22"/>
          <w:szCs w:val="22"/>
        </w:rPr>
        <w:t xml:space="preserve"> Study Group (MMS). Environ Mol Mutagen 2001</w:t>
      </w:r>
      <w:proofErr w:type="gramStart"/>
      <w:r w:rsidRPr="0030266C">
        <w:rPr>
          <w:rFonts w:ascii="Century Schoolbook" w:hAnsi="Century Schoolbook"/>
          <w:sz w:val="22"/>
          <w:szCs w:val="22"/>
        </w:rPr>
        <w:t>;37:93</w:t>
      </w:r>
      <w:proofErr w:type="gramEnd"/>
      <w:r w:rsidRPr="0030266C">
        <w:rPr>
          <w:rFonts w:ascii="Century Schoolbook" w:hAnsi="Century Schoolbook"/>
          <w:sz w:val="22"/>
          <w:szCs w:val="22"/>
        </w:rPr>
        <w:t>-110.</w:t>
      </w:r>
      <w:r w:rsidR="001D26BE" w:rsidRPr="00C9399A">
        <w:rPr>
          <w:rFonts w:ascii="Century Schoolbook" w:hAnsi="Century Schoolbook"/>
          <w:sz w:val="22"/>
          <w:szCs w:val="22"/>
        </w:rPr>
        <w:t xml:space="preserve"> </w:t>
      </w:r>
    </w:p>
    <w:p w:rsidR="001D26BE" w:rsidRPr="00C9399A" w:rsidRDefault="001D26BE" w:rsidP="005F7F4A">
      <w:pPr>
        <w:widowControl/>
        <w:rPr>
          <w:rFonts w:ascii="Century Schoolbook" w:hAnsi="Century Schoolbook"/>
          <w:sz w:val="22"/>
          <w:szCs w:val="22"/>
        </w:rPr>
      </w:pPr>
    </w:p>
    <w:p w:rsidR="001D26BE" w:rsidRDefault="0030266C" w:rsidP="005F7F4A">
      <w:pPr>
        <w:widowControl/>
        <w:rPr>
          <w:rFonts w:ascii="Century Schoolbook" w:hAnsi="Century Schoolbook"/>
          <w:sz w:val="22"/>
          <w:szCs w:val="22"/>
        </w:rPr>
      </w:pPr>
      <w:r w:rsidRPr="0030266C">
        <w:rPr>
          <w:rFonts w:ascii="Century Schoolbook" w:hAnsi="Century Schoolbook"/>
          <w:sz w:val="22"/>
          <w:szCs w:val="22"/>
        </w:rPr>
        <w:t xml:space="preserve">Hartmann A, </w:t>
      </w:r>
      <w:proofErr w:type="spellStart"/>
      <w:r w:rsidRPr="0030266C">
        <w:rPr>
          <w:rFonts w:ascii="Century Schoolbook" w:hAnsi="Century Schoolbook"/>
          <w:sz w:val="22"/>
          <w:szCs w:val="22"/>
        </w:rPr>
        <w:t>Agurell</w:t>
      </w:r>
      <w:proofErr w:type="spellEnd"/>
      <w:r w:rsidRPr="0030266C">
        <w:rPr>
          <w:rFonts w:ascii="Century Schoolbook" w:hAnsi="Century Schoolbook"/>
          <w:sz w:val="22"/>
          <w:szCs w:val="22"/>
        </w:rPr>
        <w:t xml:space="preserve"> E, </w:t>
      </w:r>
      <w:proofErr w:type="spellStart"/>
      <w:r w:rsidRPr="0030266C">
        <w:rPr>
          <w:rFonts w:ascii="Century Schoolbook" w:hAnsi="Century Schoolbook"/>
          <w:sz w:val="22"/>
          <w:szCs w:val="22"/>
        </w:rPr>
        <w:t>Beevers</w:t>
      </w:r>
      <w:proofErr w:type="spellEnd"/>
      <w:r w:rsidRPr="0030266C">
        <w:rPr>
          <w:rFonts w:ascii="Century Schoolbook" w:hAnsi="Century Schoolbook"/>
          <w:sz w:val="22"/>
          <w:szCs w:val="22"/>
        </w:rPr>
        <w:t xml:space="preserve"> C, </w:t>
      </w:r>
      <w:proofErr w:type="spellStart"/>
      <w:r w:rsidRPr="0030266C">
        <w:rPr>
          <w:rFonts w:ascii="Century Schoolbook" w:hAnsi="Century Schoolbook"/>
          <w:sz w:val="22"/>
          <w:szCs w:val="22"/>
        </w:rPr>
        <w:t>Brendler-Schwaab</w:t>
      </w:r>
      <w:proofErr w:type="spellEnd"/>
      <w:r w:rsidRPr="0030266C">
        <w:rPr>
          <w:rFonts w:ascii="Century Schoolbook" w:hAnsi="Century Schoolbook"/>
          <w:sz w:val="22"/>
          <w:szCs w:val="22"/>
        </w:rPr>
        <w:t xml:space="preserve"> S, </w:t>
      </w:r>
      <w:proofErr w:type="spellStart"/>
      <w:r w:rsidRPr="0030266C">
        <w:rPr>
          <w:rFonts w:ascii="Century Schoolbook" w:hAnsi="Century Schoolbook"/>
          <w:sz w:val="22"/>
          <w:szCs w:val="22"/>
        </w:rPr>
        <w:t>Burlinson</w:t>
      </w:r>
      <w:proofErr w:type="spellEnd"/>
      <w:r w:rsidRPr="0030266C">
        <w:rPr>
          <w:rFonts w:ascii="Century Schoolbook" w:hAnsi="Century Schoolbook"/>
          <w:sz w:val="22"/>
          <w:szCs w:val="22"/>
        </w:rPr>
        <w:t xml:space="preserve"> B, Clay P et al. Recommendations for conducting the </w:t>
      </w:r>
      <w:r w:rsidRPr="002F4D15">
        <w:rPr>
          <w:rFonts w:ascii="Century Schoolbook" w:hAnsi="Century Schoolbook"/>
          <w:i/>
          <w:sz w:val="22"/>
          <w:szCs w:val="22"/>
        </w:rPr>
        <w:t>in vivo</w:t>
      </w:r>
      <w:r w:rsidRPr="0030266C">
        <w:rPr>
          <w:rFonts w:ascii="Century Schoolbook" w:hAnsi="Century Schoolbook"/>
          <w:sz w:val="22"/>
          <w:szCs w:val="22"/>
        </w:rPr>
        <w:t xml:space="preserve"> alkaline Comet assay. Mutagenesis 2003</w:t>
      </w:r>
      <w:proofErr w:type="gramStart"/>
      <w:r w:rsidRPr="0030266C">
        <w:rPr>
          <w:rFonts w:ascii="Century Schoolbook" w:hAnsi="Century Schoolbook"/>
          <w:sz w:val="22"/>
          <w:szCs w:val="22"/>
        </w:rPr>
        <w:t>;18:45</w:t>
      </w:r>
      <w:proofErr w:type="gramEnd"/>
      <w:r w:rsidRPr="0030266C">
        <w:rPr>
          <w:rFonts w:ascii="Century Schoolbook" w:hAnsi="Century Schoolbook"/>
          <w:sz w:val="22"/>
          <w:szCs w:val="22"/>
        </w:rPr>
        <w:t>-51.</w:t>
      </w:r>
    </w:p>
    <w:p w:rsidR="0030266C" w:rsidRPr="00C9399A" w:rsidRDefault="0030266C" w:rsidP="005F7F4A">
      <w:pPr>
        <w:widowControl/>
        <w:rPr>
          <w:rFonts w:ascii="Century Schoolbook" w:hAnsi="Century Schoolbook"/>
          <w:sz w:val="22"/>
          <w:szCs w:val="22"/>
        </w:rPr>
      </w:pPr>
    </w:p>
    <w:p w:rsidR="00190A91" w:rsidRPr="00190A91" w:rsidRDefault="00190A91" w:rsidP="00190A91">
      <w:pPr>
        <w:widowControl/>
        <w:rPr>
          <w:rFonts w:ascii="Century Schoolbook" w:hAnsi="Century Schoolbook"/>
          <w:sz w:val="22"/>
          <w:szCs w:val="22"/>
          <w:lang w:val="en-GB"/>
        </w:rPr>
      </w:pPr>
      <w:r w:rsidRPr="00190A91">
        <w:rPr>
          <w:rFonts w:ascii="Century Schoolbook" w:hAnsi="Century Schoolbook"/>
          <w:sz w:val="22"/>
          <w:szCs w:val="22"/>
          <w:lang w:val="en-GB"/>
        </w:rPr>
        <w:t xml:space="preserve">Hayashi M, </w:t>
      </w:r>
      <w:proofErr w:type="spellStart"/>
      <w:r w:rsidRPr="00190A91">
        <w:rPr>
          <w:rFonts w:ascii="Century Schoolbook" w:hAnsi="Century Schoolbook"/>
          <w:sz w:val="22"/>
          <w:szCs w:val="22"/>
          <w:lang w:val="en-GB"/>
        </w:rPr>
        <w:t>MacGregor</w:t>
      </w:r>
      <w:proofErr w:type="spellEnd"/>
      <w:r w:rsidRPr="00190A91">
        <w:rPr>
          <w:rFonts w:ascii="Century Schoolbook" w:hAnsi="Century Schoolbook"/>
          <w:sz w:val="22"/>
          <w:szCs w:val="22"/>
          <w:lang w:val="en-GB"/>
        </w:rPr>
        <w:t xml:space="preserve"> JT, Gatehouse DG, Adler I, </w:t>
      </w:r>
      <w:proofErr w:type="spellStart"/>
      <w:r w:rsidRPr="00190A91">
        <w:rPr>
          <w:rFonts w:ascii="Century Schoolbook" w:hAnsi="Century Schoolbook"/>
          <w:sz w:val="22"/>
          <w:szCs w:val="22"/>
          <w:lang w:val="en-GB"/>
        </w:rPr>
        <w:t>Blakey</w:t>
      </w:r>
      <w:proofErr w:type="spellEnd"/>
      <w:r w:rsidRPr="00190A91">
        <w:rPr>
          <w:rFonts w:ascii="Century Schoolbook" w:hAnsi="Century Schoolbook"/>
          <w:sz w:val="22"/>
          <w:szCs w:val="22"/>
          <w:lang w:val="en-GB"/>
        </w:rPr>
        <w:t xml:space="preserve"> DH, </w:t>
      </w:r>
      <w:proofErr w:type="spellStart"/>
      <w:r w:rsidRPr="00190A91">
        <w:rPr>
          <w:rFonts w:ascii="Century Schoolbook" w:hAnsi="Century Schoolbook"/>
          <w:sz w:val="22"/>
          <w:szCs w:val="22"/>
          <w:lang w:val="en-GB"/>
        </w:rPr>
        <w:t>Dertinger</w:t>
      </w:r>
      <w:proofErr w:type="spellEnd"/>
      <w:r w:rsidRPr="00190A91">
        <w:rPr>
          <w:rFonts w:ascii="Century Schoolbook" w:hAnsi="Century Schoolbook"/>
          <w:sz w:val="22"/>
          <w:szCs w:val="22"/>
          <w:lang w:val="en-GB"/>
        </w:rPr>
        <w:t xml:space="preserve"> SD et al. </w:t>
      </w:r>
      <w:proofErr w:type="gramStart"/>
      <w:r w:rsidRPr="00190A91">
        <w:rPr>
          <w:rFonts w:ascii="Century Schoolbook" w:hAnsi="Century Schoolbook"/>
          <w:i/>
          <w:iCs/>
          <w:sz w:val="22"/>
          <w:szCs w:val="22"/>
          <w:lang w:val="en-GB"/>
        </w:rPr>
        <w:t>In vivo</w:t>
      </w:r>
      <w:r w:rsidRPr="00190A91">
        <w:rPr>
          <w:rFonts w:ascii="Century Schoolbook" w:hAnsi="Century Schoolbook"/>
          <w:sz w:val="22"/>
          <w:szCs w:val="22"/>
          <w:lang w:val="en-GB"/>
        </w:rPr>
        <w:t xml:space="preserve"> rodent erythrocyte micronucleus assay.</w:t>
      </w:r>
      <w:proofErr w:type="gramEnd"/>
      <w:r w:rsidRPr="00190A91">
        <w:rPr>
          <w:rFonts w:ascii="Century Schoolbook" w:hAnsi="Century Schoolbook"/>
          <w:sz w:val="22"/>
          <w:szCs w:val="22"/>
          <w:lang w:val="en-GB"/>
        </w:rPr>
        <w:t xml:space="preserve"> II. Some aspects of protocol design including repeated treatments, integration with toxicity testing, and automated scoring. </w:t>
      </w:r>
      <w:r w:rsidRPr="00190A91">
        <w:rPr>
          <w:rFonts w:ascii="Century Schoolbook" w:hAnsi="Century Schoolbook"/>
          <w:iCs/>
          <w:sz w:val="22"/>
          <w:szCs w:val="22"/>
          <w:lang w:val="en-GB"/>
        </w:rPr>
        <w:t xml:space="preserve">Environ Mol </w:t>
      </w:r>
      <w:proofErr w:type="spellStart"/>
      <w:r w:rsidRPr="00190A91">
        <w:rPr>
          <w:rFonts w:ascii="Century Schoolbook" w:hAnsi="Century Schoolbook"/>
          <w:iCs/>
          <w:sz w:val="22"/>
          <w:szCs w:val="22"/>
          <w:lang w:val="en-GB"/>
        </w:rPr>
        <w:t>Mutagen</w:t>
      </w:r>
      <w:proofErr w:type="spellEnd"/>
      <w:r w:rsidRPr="00190A91">
        <w:rPr>
          <w:rFonts w:ascii="Century Schoolbook" w:hAnsi="Century Schoolbook"/>
          <w:sz w:val="22"/>
          <w:szCs w:val="22"/>
          <w:lang w:val="en-GB"/>
        </w:rPr>
        <w:t xml:space="preserve"> 2000</w:t>
      </w:r>
      <w:proofErr w:type="gramStart"/>
      <w:r w:rsidRPr="00190A91">
        <w:rPr>
          <w:rFonts w:ascii="Century Schoolbook" w:hAnsi="Century Schoolbook"/>
          <w:sz w:val="22"/>
          <w:szCs w:val="22"/>
          <w:lang w:val="en-GB"/>
        </w:rPr>
        <w:t>;</w:t>
      </w:r>
      <w:r>
        <w:rPr>
          <w:rFonts w:ascii="Century Schoolbook" w:hAnsi="Century Schoolbook"/>
          <w:sz w:val="22"/>
          <w:szCs w:val="22"/>
          <w:lang w:val="en-GB"/>
        </w:rPr>
        <w:t>35:234</w:t>
      </w:r>
      <w:proofErr w:type="gramEnd"/>
      <w:r>
        <w:rPr>
          <w:rFonts w:ascii="Century Schoolbook" w:hAnsi="Century Schoolbook"/>
          <w:sz w:val="22"/>
          <w:szCs w:val="22"/>
          <w:lang w:val="en-GB"/>
        </w:rPr>
        <w:t>-52</w:t>
      </w:r>
      <w:r w:rsidRPr="00190A91">
        <w:rPr>
          <w:rFonts w:ascii="Century Schoolbook" w:hAnsi="Century Schoolbook"/>
          <w:sz w:val="22"/>
          <w:szCs w:val="22"/>
          <w:lang w:val="en-GB"/>
        </w:rPr>
        <w:t>.</w:t>
      </w:r>
    </w:p>
    <w:p w:rsidR="001D26BE" w:rsidRPr="00C9399A" w:rsidRDefault="001D26BE" w:rsidP="005F7F4A">
      <w:pPr>
        <w:widowControl/>
        <w:rPr>
          <w:rFonts w:ascii="Century Schoolbook" w:hAnsi="Century Schoolbook"/>
          <w:sz w:val="22"/>
          <w:szCs w:val="22"/>
        </w:rPr>
      </w:pPr>
    </w:p>
    <w:p w:rsidR="009C3BA1" w:rsidRPr="009C3BA1" w:rsidRDefault="009C3BA1" w:rsidP="009C3BA1">
      <w:pPr>
        <w:widowControl/>
        <w:rPr>
          <w:rFonts w:ascii="Century Schoolbook" w:hAnsi="Century Schoolbook"/>
          <w:sz w:val="22"/>
          <w:szCs w:val="22"/>
          <w:lang w:val="en-GB"/>
        </w:rPr>
      </w:pPr>
      <w:r w:rsidRPr="009C3BA1">
        <w:rPr>
          <w:rFonts w:ascii="Century Schoolbook" w:hAnsi="Century Schoolbook"/>
          <w:sz w:val="22"/>
          <w:szCs w:val="22"/>
          <w:lang w:val="en-GB"/>
        </w:rPr>
        <w:t xml:space="preserve">Hayashi M, </w:t>
      </w:r>
      <w:proofErr w:type="spellStart"/>
      <w:r w:rsidRPr="009C3BA1">
        <w:rPr>
          <w:rFonts w:ascii="Century Schoolbook" w:hAnsi="Century Schoolbook"/>
          <w:sz w:val="22"/>
          <w:szCs w:val="22"/>
          <w:lang w:val="en-GB"/>
        </w:rPr>
        <w:t>MacGregor</w:t>
      </w:r>
      <w:proofErr w:type="spellEnd"/>
      <w:r w:rsidRPr="009C3BA1">
        <w:rPr>
          <w:rFonts w:ascii="Century Schoolbook" w:hAnsi="Century Schoolbook"/>
          <w:sz w:val="22"/>
          <w:szCs w:val="22"/>
          <w:lang w:val="en-GB"/>
        </w:rPr>
        <w:t xml:space="preserve"> JT, Gatehouse DG, </w:t>
      </w:r>
      <w:proofErr w:type="spellStart"/>
      <w:r w:rsidRPr="009C3BA1">
        <w:rPr>
          <w:rFonts w:ascii="Century Schoolbook" w:hAnsi="Century Schoolbook"/>
          <w:sz w:val="22"/>
          <w:szCs w:val="22"/>
          <w:lang w:val="en-GB"/>
        </w:rPr>
        <w:t>Blakey</w:t>
      </w:r>
      <w:proofErr w:type="spellEnd"/>
      <w:r w:rsidRPr="009C3BA1">
        <w:rPr>
          <w:rFonts w:ascii="Century Schoolbook" w:hAnsi="Century Schoolbook"/>
          <w:sz w:val="22"/>
          <w:szCs w:val="22"/>
          <w:lang w:val="en-GB"/>
        </w:rPr>
        <w:t xml:space="preserve"> DH, </w:t>
      </w:r>
      <w:proofErr w:type="spellStart"/>
      <w:r w:rsidRPr="009C3BA1">
        <w:rPr>
          <w:rFonts w:ascii="Century Schoolbook" w:hAnsi="Century Schoolbook"/>
          <w:sz w:val="22"/>
          <w:szCs w:val="22"/>
          <w:lang w:val="en-GB"/>
        </w:rPr>
        <w:t>Dertinger</w:t>
      </w:r>
      <w:proofErr w:type="spellEnd"/>
      <w:r w:rsidRPr="009C3BA1">
        <w:rPr>
          <w:rFonts w:ascii="Century Schoolbook" w:hAnsi="Century Schoolbook"/>
          <w:sz w:val="22"/>
          <w:szCs w:val="22"/>
          <w:lang w:val="en-GB"/>
        </w:rPr>
        <w:t xml:space="preserve"> SD, </w:t>
      </w:r>
      <w:proofErr w:type="spellStart"/>
      <w:r w:rsidRPr="009C3BA1">
        <w:rPr>
          <w:rFonts w:ascii="Century Schoolbook" w:hAnsi="Century Schoolbook"/>
          <w:sz w:val="22"/>
          <w:szCs w:val="22"/>
          <w:lang w:val="en-GB"/>
        </w:rPr>
        <w:t>Abramsson-Zetterberg</w:t>
      </w:r>
      <w:proofErr w:type="spellEnd"/>
      <w:r w:rsidRPr="009C3BA1">
        <w:rPr>
          <w:rFonts w:ascii="Century Schoolbook" w:hAnsi="Century Schoolbook"/>
          <w:sz w:val="22"/>
          <w:szCs w:val="22"/>
          <w:lang w:val="en-GB"/>
        </w:rPr>
        <w:t xml:space="preserve"> L et al. </w:t>
      </w:r>
      <w:proofErr w:type="gramStart"/>
      <w:r w:rsidRPr="009C3BA1">
        <w:rPr>
          <w:rFonts w:ascii="Century Schoolbook" w:hAnsi="Century Schoolbook"/>
          <w:i/>
          <w:iCs/>
          <w:sz w:val="22"/>
          <w:szCs w:val="22"/>
          <w:lang w:val="en-GB"/>
        </w:rPr>
        <w:t>In vivo</w:t>
      </w:r>
      <w:r w:rsidRPr="009C3BA1">
        <w:rPr>
          <w:rFonts w:ascii="Century Schoolbook" w:hAnsi="Century Schoolbook"/>
          <w:sz w:val="22"/>
          <w:szCs w:val="22"/>
          <w:lang w:val="en-GB"/>
        </w:rPr>
        <w:t xml:space="preserve"> erythrocyte micronucleus assay.</w:t>
      </w:r>
      <w:proofErr w:type="gramEnd"/>
      <w:r w:rsidRPr="009C3BA1">
        <w:rPr>
          <w:rFonts w:ascii="Century Schoolbook" w:hAnsi="Century Schoolbook"/>
          <w:sz w:val="22"/>
          <w:szCs w:val="22"/>
          <w:lang w:val="en-GB"/>
        </w:rPr>
        <w:t xml:space="preserve"> III. Validation and regulatory acceptance of automated scoring and the use of rat peripheral blood </w:t>
      </w:r>
      <w:proofErr w:type="spellStart"/>
      <w:r w:rsidRPr="009C3BA1">
        <w:rPr>
          <w:rFonts w:ascii="Century Schoolbook" w:hAnsi="Century Schoolbook"/>
          <w:sz w:val="22"/>
          <w:szCs w:val="22"/>
          <w:lang w:val="en-GB"/>
        </w:rPr>
        <w:t>reticulocytes</w:t>
      </w:r>
      <w:proofErr w:type="spellEnd"/>
      <w:r w:rsidRPr="009C3BA1">
        <w:rPr>
          <w:rFonts w:ascii="Century Schoolbook" w:hAnsi="Century Schoolbook"/>
          <w:sz w:val="22"/>
          <w:szCs w:val="22"/>
          <w:lang w:val="en-GB"/>
        </w:rPr>
        <w:t>, with discussion of non-</w:t>
      </w:r>
      <w:proofErr w:type="spellStart"/>
      <w:r w:rsidRPr="009C3BA1">
        <w:rPr>
          <w:rFonts w:ascii="Century Schoolbook" w:hAnsi="Century Schoolbook"/>
          <w:sz w:val="22"/>
          <w:szCs w:val="22"/>
          <w:lang w:val="en-GB"/>
        </w:rPr>
        <w:t>hematopoietic</w:t>
      </w:r>
      <w:proofErr w:type="spellEnd"/>
      <w:r w:rsidRPr="009C3BA1">
        <w:rPr>
          <w:rFonts w:ascii="Century Schoolbook" w:hAnsi="Century Schoolbook"/>
          <w:sz w:val="22"/>
          <w:szCs w:val="22"/>
          <w:lang w:val="en-GB"/>
        </w:rPr>
        <w:t xml:space="preserve"> target cells and a single dose-level limit test. </w:t>
      </w:r>
      <w:proofErr w:type="spellStart"/>
      <w:r w:rsidRPr="009C3BA1">
        <w:rPr>
          <w:rFonts w:ascii="Century Schoolbook" w:hAnsi="Century Schoolbook"/>
          <w:iCs/>
          <w:sz w:val="22"/>
          <w:szCs w:val="22"/>
          <w:lang w:val="en-GB"/>
        </w:rPr>
        <w:t>Mutat</w:t>
      </w:r>
      <w:proofErr w:type="spellEnd"/>
      <w:r w:rsidRPr="009C3BA1">
        <w:rPr>
          <w:rFonts w:ascii="Century Schoolbook" w:hAnsi="Century Schoolbook"/>
          <w:iCs/>
          <w:sz w:val="22"/>
          <w:szCs w:val="22"/>
          <w:lang w:val="en-GB"/>
        </w:rPr>
        <w:t xml:space="preserve"> </w:t>
      </w:r>
      <w:proofErr w:type="spellStart"/>
      <w:r w:rsidRPr="009C3BA1">
        <w:rPr>
          <w:rFonts w:ascii="Century Schoolbook" w:hAnsi="Century Schoolbook"/>
          <w:iCs/>
          <w:sz w:val="22"/>
          <w:szCs w:val="22"/>
          <w:lang w:val="en-GB"/>
        </w:rPr>
        <w:t>Res</w:t>
      </w:r>
      <w:proofErr w:type="spellEnd"/>
      <w:r w:rsidRPr="009C3BA1">
        <w:rPr>
          <w:rFonts w:ascii="Century Schoolbook" w:hAnsi="Century Schoolbook"/>
          <w:sz w:val="22"/>
          <w:szCs w:val="22"/>
          <w:lang w:val="en-GB"/>
        </w:rPr>
        <w:t xml:space="preserve"> 2007</w:t>
      </w:r>
      <w:proofErr w:type="gramStart"/>
      <w:r w:rsidRPr="009C3BA1">
        <w:rPr>
          <w:rFonts w:ascii="Century Schoolbook" w:hAnsi="Century Schoolbook"/>
          <w:sz w:val="22"/>
          <w:szCs w:val="22"/>
          <w:lang w:val="en-GB"/>
        </w:rPr>
        <w:t>;627:10</w:t>
      </w:r>
      <w:proofErr w:type="gramEnd"/>
      <w:r w:rsidRPr="009C3BA1">
        <w:rPr>
          <w:rFonts w:ascii="Century Schoolbook" w:hAnsi="Century Schoolbook"/>
          <w:sz w:val="22"/>
          <w:szCs w:val="22"/>
          <w:lang w:val="en-GB"/>
        </w:rPr>
        <w:t>-30.</w:t>
      </w:r>
    </w:p>
    <w:p w:rsidR="001D26BE" w:rsidRPr="00C9399A" w:rsidRDefault="001D26BE" w:rsidP="005F7F4A">
      <w:pPr>
        <w:widowControl/>
        <w:rPr>
          <w:rFonts w:ascii="Century Schoolbook" w:hAnsi="Century Schoolbook"/>
          <w:sz w:val="22"/>
          <w:szCs w:val="22"/>
        </w:rPr>
      </w:pPr>
    </w:p>
    <w:p w:rsidR="003E0390" w:rsidRPr="003E0390" w:rsidRDefault="003E0390" w:rsidP="003E0390">
      <w:pPr>
        <w:rPr>
          <w:rFonts w:ascii="Century Schoolbook" w:hAnsi="Century Schoolbook"/>
          <w:sz w:val="22"/>
          <w:szCs w:val="22"/>
          <w:lang w:val="en-GB"/>
        </w:rPr>
      </w:pPr>
      <w:r w:rsidRPr="003E0390">
        <w:rPr>
          <w:rFonts w:ascii="Century Schoolbook" w:hAnsi="Century Schoolbook"/>
          <w:sz w:val="22"/>
          <w:szCs w:val="22"/>
          <w:lang w:val="en-GB"/>
        </w:rPr>
        <w:t xml:space="preserve">Heddle JA, Dean S, </w:t>
      </w:r>
      <w:proofErr w:type="spellStart"/>
      <w:r w:rsidRPr="003E0390">
        <w:rPr>
          <w:rFonts w:ascii="Century Schoolbook" w:hAnsi="Century Schoolbook"/>
          <w:sz w:val="22"/>
          <w:szCs w:val="22"/>
          <w:lang w:val="en-GB"/>
        </w:rPr>
        <w:t>Nohmi</w:t>
      </w:r>
      <w:proofErr w:type="spellEnd"/>
      <w:r w:rsidRPr="003E0390">
        <w:rPr>
          <w:rFonts w:ascii="Century Schoolbook" w:hAnsi="Century Schoolbook"/>
          <w:sz w:val="22"/>
          <w:szCs w:val="22"/>
          <w:lang w:val="en-GB"/>
        </w:rPr>
        <w:t xml:space="preserve"> T, </w:t>
      </w:r>
      <w:proofErr w:type="spellStart"/>
      <w:r w:rsidRPr="003E0390">
        <w:rPr>
          <w:rFonts w:ascii="Century Schoolbook" w:hAnsi="Century Schoolbook"/>
          <w:sz w:val="22"/>
          <w:szCs w:val="22"/>
          <w:lang w:val="en-GB"/>
        </w:rPr>
        <w:t>Boerrigter</w:t>
      </w:r>
      <w:proofErr w:type="spellEnd"/>
      <w:r w:rsidRPr="003E0390">
        <w:rPr>
          <w:rFonts w:ascii="Century Schoolbook" w:hAnsi="Century Schoolbook"/>
          <w:sz w:val="22"/>
          <w:szCs w:val="22"/>
          <w:lang w:val="en-GB"/>
        </w:rPr>
        <w:t xml:space="preserve"> M, </w:t>
      </w:r>
      <w:proofErr w:type="spellStart"/>
      <w:r w:rsidRPr="003E0390">
        <w:rPr>
          <w:rFonts w:ascii="Century Schoolbook" w:hAnsi="Century Schoolbook"/>
          <w:sz w:val="22"/>
          <w:szCs w:val="22"/>
          <w:lang w:val="en-GB"/>
        </w:rPr>
        <w:t>Casciano</w:t>
      </w:r>
      <w:proofErr w:type="spellEnd"/>
      <w:r w:rsidRPr="003E0390">
        <w:rPr>
          <w:rFonts w:ascii="Century Schoolbook" w:hAnsi="Century Schoolbook"/>
          <w:sz w:val="22"/>
          <w:szCs w:val="22"/>
          <w:lang w:val="en-GB"/>
        </w:rPr>
        <w:t xml:space="preserve"> D, Douglas GR et al. </w:t>
      </w:r>
      <w:r w:rsidRPr="003E0390">
        <w:rPr>
          <w:rFonts w:ascii="Century Schoolbook" w:hAnsi="Century Schoolbook"/>
          <w:i/>
          <w:sz w:val="22"/>
          <w:szCs w:val="22"/>
          <w:lang w:val="en-GB"/>
        </w:rPr>
        <w:t>In vivo</w:t>
      </w:r>
      <w:r w:rsidRPr="003E0390">
        <w:rPr>
          <w:rFonts w:ascii="Century Schoolbook" w:hAnsi="Century Schoolbook"/>
          <w:sz w:val="22"/>
          <w:szCs w:val="22"/>
          <w:lang w:val="en-GB"/>
        </w:rPr>
        <w:t xml:space="preserve"> transgenic mutation assays. </w:t>
      </w:r>
      <w:r w:rsidRPr="003E0390">
        <w:rPr>
          <w:rFonts w:ascii="Century Schoolbook" w:hAnsi="Century Schoolbook"/>
          <w:iCs/>
          <w:sz w:val="22"/>
          <w:szCs w:val="22"/>
          <w:lang w:val="en-GB"/>
        </w:rPr>
        <w:t xml:space="preserve">Environ Mol </w:t>
      </w:r>
      <w:proofErr w:type="spellStart"/>
      <w:r w:rsidRPr="003E0390">
        <w:rPr>
          <w:rFonts w:ascii="Century Schoolbook" w:hAnsi="Century Schoolbook"/>
          <w:iCs/>
          <w:sz w:val="22"/>
          <w:szCs w:val="22"/>
          <w:lang w:val="en-GB"/>
        </w:rPr>
        <w:t>Mutagen</w:t>
      </w:r>
      <w:proofErr w:type="spellEnd"/>
      <w:r w:rsidRPr="003E0390">
        <w:rPr>
          <w:rFonts w:ascii="Century Schoolbook" w:hAnsi="Century Schoolbook"/>
          <w:iCs/>
          <w:sz w:val="22"/>
          <w:szCs w:val="22"/>
          <w:lang w:val="en-GB"/>
        </w:rPr>
        <w:t xml:space="preserve"> </w:t>
      </w:r>
      <w:r w:rsidRPr="003E0390">
        <w:rPr>
          <w:rFonts w:ascii="Century Schoolbook" w:hAnsi="Century Schoolbook"/>
          <w:sz w:val="22"/>
          <w:szCs w:val="22"/>
          <w:lang w:val="en-GB"/>
        </w:rPr>
        <w:t>2000</w:t>
      </w:r>
      <w:proofErr w:type="gramStart"/>
      <w:r w:rsidRPr="003E0390">
        <w:rPr>
          <w:rFonts w:ascii="Century Schoolbook" w:hAnsi="Century Schoolbook"/>
          <w:sz w:val="22"/>
          <w:szCs w:val="22"/>
          <w:lang w:val="en-GB"/>
        </w:rPr>
        <w:t>;35:253</w:t>
      </w:r>
      <w:proofErr w:type="gramEnd"/>
      <w:r w:rsidRPr="003E0390">
        <w:rPr>
          <w:rFonts w:ascii="Century Schoolbook" w:hAnsi="Century Schoolbook"/>
          <w:sz w:val="22"/>
          <w:szCs w:val="22"/>
          <w:lang w:val="en-GB"/>
        </w:rPr>
        <w:t>-9.</w:t>
      </w:r>
    </w:p>
    <w:p w:rsidR="001D26BE" w:rsidRPr="00A233D0" w:rsidRDefault="001D26BE" w:rsidP="005F7F4A">
      <w:pPr>
        <w:rPr>
          <w:rFonts w:ascii="Century Schoolbook" w:hAnsi="Century Schoolbook"/>
          <w:sz w:val="22"/>
          <w:szCs w:val="22"/>
        </w:rPr>
      </w:pPr>
    </w:p>
    <w:p w:rsidR="001D26BE" w:rsidRPr="00A233D0" w:rsidRDefault="00484C51" w:rsidP="005F7F4A">
      <w:pPr>
        <w:rPr>
          <w:rFonts w:ascii="Century Schoolbook" w:hAnsi="Century Schoolbook"/>
          <w:bCs/>
          <w:iCs/>
          <w:sz w:val="22"/>
          <w:szCs w:val="22"/>
        </w:rPr>
      </w:pPr>
      <w:bookmarkStart w:id="118" w:name="_Toc309739858"/>
      <w:bookmarkStart w:id="119" w:name="_Toc309742216"/>
      <w:r>
        <w:rPr>
          <w:rFonts w:ascii="Century Schoolbook" w:hAnsi="Century Schoolbook"/>
          <w:bCs/>
          <w:iCs/>
          <w:sz w:val="22"/>
          <w:szCs w:val="22"/>
        </w:rPr>
        <w:t>Hotchkiss C</w:t>
      </w:r>
      <w:r w:rsidR="001D26BE" w:rsidRPr="00A233D0">
        <w:rPr>
          <w:rFonts w:ascii="Century Schoolbook" w:hAnsi="Century Schoolbook"/>
          <w:bCs/>
          <w:iCs/>
          <w:sz w:val="22"/>
          <w:szCs w:val="22"/>
        </w:rPr>
        <w:t>E, Bishop</w:t>
      </w:r>
      <w:r>
        <w:rPr>
          <w:rFonts w:ascii="Century Schoolbook" w:hAnsi="Century Schoolbook"/>
          <w:bCs/>
          <w:iCs/>
          <w:sz w:val="22"/>
          <w:szCs w:val="22"/>
        </w:rPr>
        <w:t xml:space="preserve"> ME</w:t>
      </w:r>
      <w:r w:rsidR="001D26BE" w:rsidRPr="00A233D0">
        <w:rPr>
          <w:rFonts w:ascii="Century Schoolbook" w:hAnsi="Century Schoolbook"/>
          <w:bCs/>
          <w:iCs/>
          <w:sz w:val="22"/>
          <w:szCs w:val="22"/>
        </w:rPr>
        <w:t xml:space="preserve">, </w:t>
      </w:r>
      <w:proofErr w:type="spellStart"/>
      <w:r w:rsidR="001D26BE" w:rsidRPr="00A233D0">
        <w:rPr>
          <w:rFonts w:ascii="Century Schoolbook" w:hAnsi="Century Schoolbook"/>
          <w:bCs/>
          <w:iCs/>
          <w:sz w:val="22"/>
          <w:szCs w:val="22"/>
        </w:rPr>
        <w:t>Dertinger</w:t>
      </w:r>
      <w:proofErr w:type="spellEnd"/>
      <w:r>
        <w:rPr>
          <w:rFonts w:ascii="Century Schoolbook" w:hAnsi="Century Schoolbook"/>
          <w:bCs/>
          <w:iCs/>
          <w:sz w:val="22"/>
          <w:szCs w:val="22"/>
        </w:rPr>
        <w:t xml:space="preserve"> SD</w:t>
      </w:r>
      <w:r w:rsidR="001D26BE" w:rsidRPr="00A233D0">
        <w:rPr>
          <w:rFonts w:ascii="Century Schoolbook" w:hAnsi="Century Schoolbook"/>
          <w:bCs/>
          <w:iCs/>
          <w:sz w:val="22"/>
          <w:szCs w:val="22"/>
        </w:rPr>
        <w:t xml:space="preserve">, </w:t>
      </w:r>
      <w:proofErr w:type="spellStart"/>
      <w:r w:rsidR="001D26BE" w:rsidRPr="00A233D0">
        <w:rPr>
          <w:rFonts w:ascii="Century Schoolbook" w:hAnsi="Century Schoolbook"/>
          <w:bCs/>
          <w:iCs/>
          <w:sz w:val="22"/>
          <w:szCs w:val="22"/>
        </w:rPr>
        <w:t>Slikker</w:t>
      </w:r>
      <w:proofErr w:type="spellEnd"/>
      <w:r>
        <w:rPr>
          <w:rFonts w:ascii="Century Schoolbook" w:hAnsi="Century Schoolbook"/>
          <w:bCs/>
          <w:iCs/>
          <w:sz w:val="22"/>
          <w:szCs w:val="22"/>
        </w:rPr>
        <w:t xml:space="preserve"> W</w:t>
      </w:r>
      <w:r w:rsidR="001D26BE" w:rsidRPr="00A233D0">
        <w:rPr>
          <w:rFonts w:ascii="Century Schoolbook" w:hAnsi="Century Schoolbook"/>
          <w:bCs/>
          <w:iCs/>
          <w:sz w:val="22"/>
          <w:szCs w:val="22"/>
        </w:rPr>
        <w:t>, Moore</w:t>
      </w:r>
      <w:r>
        <w:rPr>
          <w:rFonts w:ascii="Century Schoolbook" w:hAnsi="Century Schoolbook"/>
          <w:bCs/>
          <w:iCs/>
          <w:sz w:val="22"/>
          <w:szCs w:val="22"/>
        </w:rPr>
        <w:t xml:space="preserve"> MM, </w:t>
      </w:r>
      <w:proofErr w:type="spellStart"/>
      <w:r w:rsidR="001D26BE" w:rsidRPr="00A233D0">
        <w:rPr>
          <w:rFonts w:ascii="Century Schoolbook" w:hAnsi="Century Schoolbook"/>
          <w:bCs/>
          <w:iCs/>
          <w:sz w:val="22"/>
          <w:szCs w:val="22"/>
        </w:rPr>
        <w:t>MacGregor</w:t>
      </w:r>
      <w:proofErr w:type="spellEnd"/>
      <w:r>
        <w:rPr>
          <w:rFonts w:ascii="Century Schoolbook" w:hAnsi="Century Schoolbook"/>
          <w:bCs/>
          <w:iCs/>
          <w:sz w:val="22"/>
          <w:szCs w:val="22"/>
        </w:rPr>
        <w:t xml:space="preserve"> JT</w:t>
      </w:r>
      <w:r w:rsidR="001B5542">
        <w:rPr>
          <w:rFonts w:ascii="Century Schoolbook" w:hAnsi="Century Schoolbook"/>
          <w:bCs/>
          <w:iCs/>
          <w:sz w:val="22"/>
          <w:szCs w:val="22"/>
        </w:rPr>
        <w:t xml:space="preserve">. Flow </w:t>
      </w:r>
      <w:proofErr w:type="spellStart"/>
      <w:r w:rsidR="001B5542">
        <w:rPr>
          <w:rFonts w:ascii="Century Schoolbook" w:hAnsi="Century Schoolbook"/>
          <w:bCs/>
          <w:iCs/>
          <w:sz w:val="22"/>
          <w:szCs w:val="22"/>
        </w:rPr>
        <w:t>cytometric</w:t>
      </w:r>
      <w:proofErr w:type="spellEnd"/>
      <w:r w:rsidR="001B5542">
        <w:rPr>
          <w:rFonts w:ascii="Century Schoolbook" w:hAnsi="Century Schoolbook"/>
          <w:bCs/>
          <w:iCs/>
          <w:sz w:val="22"/>
          <w:szCs w:val="22"/>
        </w:rPr>
        <w:t xml:space="preserve"> analysis of m</w:t>
      </w:r>
      <w:r w:rsidR="001D26BE" w:rsidRPr="00A233D0">
        <w:rPr>
          <w:rFonts w:ascii="Century Schoolbook" w:hAnsi="Century Schoolbook"/>
          <w:bCs/>
          <w:iCs/>
          <w:sz w:val="22"/>
          <w:szCs w:val="22"/>
        </w:rPr>
        <w:t xml:space="preserve">icronuclei in </w:t>
      </w:r>
      <w:r w:rsidR="001B5542">
        <w:rPr>
          <w:rFonts w:ascii="Century Schoolbook" w:hAnsi="Century Schoolbook"/>
          <w:bCs/>
          <w:iCs/>
          <w:sz w:val="22"/>
          <w:szCs w:val="22"/>
        </w:rPr>
        <w:t>p</w:t>
      </w:r>
      <w:r w:rsidR="001D26BE" w:rsidRPr="00A233D0">
        <w:rPr>
          <w:rFonts w:ascii="Century Schoolbook" w:hAnsi="Century Schoolbook"/>
          <w:bCs/>
          <w:iCs/>
          <w:sz w:val="22"/>
          <w:szCs w:val="22"/>
        </w:rPr>
        <w:t xml:space="preserve">eripheral </w:t>
      </w:r>
      <w:r w:rsidR="001B5542">
        <w:rPr>
          <w:rFonts w:ascii="Century Schoolbook" w:hAnsi="Century Schoolbook"/>
          <w:bCs/>
          <w:iCs/>
          <w:sz w:val="22"/>
          <w:szCs w:val="22"/>
        </w:rPr>
        <w:t>b</w:t>
      </w:r>
      <w:r w:rsidR="001D26BE" w:rsidRPr="00A233D0">
        <w:rPr>
          <w:rFonts w:ascii="Century Schoolbook" w:hAnsi="Century Schoolbook"/>
          <w:bCs/>
          <w:iCs/>
          <w:sz w:val="22"/>
          <w:szCs w:val="22"/>
        </w:rPr>
        <w:t xml:space="preserve">lood </w:t>
      </w:r>
      <w:proofErr w:type="spellStart"/>
      <w:r w:rsidR="001B5542">
        <w:rPr>
          <w:rFonts w:ascii="Century Schoolbook" w:hAnsi="Century Schoolbook"/>
          <w:bCs/>
          <w:iCs/>
          <w:sz w:val="22"/>
          <w:szCs w:val="22"/>
        </w:rPr>
        <w:t>r</w:t>
      </w:r>
      <w:r w:rsidR="001D26BE" w:rsidRPr="00A233D0">
        <w:rPr>
          <w:rFonts w:ascii="Century Schoolbook" w:hAnsi="Century Schoolbook"/>
          <w:bCs/>
          <w:iCs/>
          <w:sz w:val="22"/>
          <w:szCs w:val="22"/>
        </w:rPr>
        <w:t>eticulocytes</w:t>
      </w:r>
      <w:proofErr w:type="spellEnd"/>
      <w:r w:rsidR="001D26BE" w:rsidRPr="00A233D0">
        <w:rPr>
          <w:rFonts w:ascii="Century Schoolbook" w:hAnsi="Century Schoolbook"/>
          <w:bCs/>
          <w:iCs/>
          <w:sz w:val="22"/>
          <w:szCs w:val="22"/>
        </w:rPr>
        <w:t xml:space="preserve"> IV: </w:t>
      </w:r>
      <w:r w:rsidR="001B5542">
        <w:rPr>
          <w:rFonts w:ascii="Century Schoolbook" w:hAnsi="Century Schoolbook"/>
          <w:bCs/>
          <w:iCs/>
          <w:sz w:val="22"/>
          <w:szCs w:val="22"/>
        </w:rPr>
        <w:t>a</w:t>
      </w:r>
      <w:r w:rsidR="001D26BE" w:rsidRPr="00A233D0">
        <w:rPr>
          <w:rFonts w:ascii="Century Schoolbook" w:hAnsi="Century Schoolbook"/>
          <w:bCs/>
          <w:iCs/>
          <w:sz w:val="22"/>
          <w:szCs w:val="22"/>
        </w:rPr>
        <w:t xml:space="preserve">n </w:t>
      </w:r>
      <w:r w:rsidR="001B5542">
        <w:rPr>
          <w:rFonts w:ascii="Century Schoolbook" w:hAnsi="Century Schoolbook"/>
          <w:bCs/>
          <w:iCs/>
          <w:sz w:val="22"/>
          <w:szCs w:val="22"/>
        </w:rPr>
        <w:t>i</w:t>
      </w:r>
      <w:r w:rsidR="001D26BE" w:rsidRPr="00A233D0">
        <w:rPr>
          <w:rFonts w:ascii="Century Schoolbook" w:hAnsi="Century Schoolbook"/>
          <w:bCs/>
          <w:iCs/>
          <w:sz w:val="22"/>
          <w:szCs w:val="22"/>
        </w:rPr>
        <w:t xml:space="preserve">ndex of </w:t>
      </w:r>
      <w:r w:rsidR="001B5542">
        <w:rPr>
          <w:rFonts w:ascii="Century Schoolbook" w:hAnsi="Century Schoolbook"/>
          <w:bCs/>
          <w:iCs/>
          <w:sz w:val="22"/>
          <w:szCs w:val="22"/>
        </w:rPr>
        <w:t>c</w:t>
      </w:r>
      <w:r w:rsidR="001D26BE" w:rsidRPr="00A233D0">
        <w:rPr>
          <w:rFonts w:ascii="Century Schoolbook" w:hAnsi="Century Schoolbook"/>
          <w:bCs/>
          <w:iCs/>
          <w:sz w:val="22"/>
          <w:szCs w:val="22"/>
        </w:rPr>
        <w:t xml:space="preserve">hromosomal </w:t>
      </w:r>
      <w:r w:rsidR="001B5542">
        <w:rPr>
          <w:rFonts w:ascii="Century Schoolbook" w:hAnsi="Century Schoolbook"/>
          <w:bCs/>
          <w:iCs/>
          <w:sz w:val="22"/>
          <w:szCs w:val="22"/>
        </w:rPr>
        <w:t>d</w:t>
      </w:r>
      <w:r w:rsidR="001D26BE" w:rsidRPr="00A233D0">
        <w:rPr>
          <w:rFonts w:ascii="Century Schoolbook" w:hAnsi="Century Schoolbook"/>
          <w:bCs/>
          <w:iCs/>
          <w:sz w:val="22"/>
          <w:szCs w:val="22"/>
        </w:rPr>
        <w:t xml:space="preserve">amage in the </w:t>
      </w:r>
      <w:r w:rsidR="001B5542">
        <w:rPr>
          <w:rFonts w:ascii="Century Schoolbook" w:hAnsi="Century Schoolbook"/>
          <w:bCs/>
          <w:iCs/>
          <w:sz w:val="22"/>
          <w:szCs w:val="22"/>
        </w:rPr>
        <w:t>rhesus m</w:t>
      </w:r>
      <w:r w:rsidR="001D26BE" w:rsidRPr="00A233D0">
        <w:rPr>
          <w:rFonts w:ascii="Century Schoolbook" w:hAnsi="Century Schoolbook"/>
          <w:bCs/>
          <w:iCs/>
          <w:sz w:val="22"/>
          <w:szCs w:val="22"/>
        </w:rPr>
        <w:t>onkey (</w:t>
      </w:r>
      <w:proofErr w:type="spellStart"/>
      <w:r w:rsidR="001B5542">
        <w:rPr>
          <w:rFonts w:ascii="Century Schoolbook" w:hAnsi="Century Schoolbook"/>
          <w:bCs/>
          <w:iCs/>
          <w:sz w:val="22"/>
          <w:szCs w:val="22"/>
        </w:rPr>
        <w:t>m</w:t>
      </w:r>
      <w:r w:rsidR="001D26BE" w:rsidRPr="00A233D0">
        <w:rPr>
          <w:rFonts w:ascii="Century Schoolbook" w:hAnsi="Century Schoolbook"/>
          <w:bCs/>
          <w:iCs/>
          <w:sz w:val="22"/>
          <w:szCs w:val="22"/>
        </w:rPr>
        <w:t>acaca</w:t>
      </w:r>
      <w:proofErr w:type="spellEnd"/>
      <w:r w:rsidR="001D26BE" w:rsidRPr="00A233D0">
        <w:rPr>
          <w:rFonts w:ascii="Century Schoolbook" w:hAnsi="Century Schoolbook"/>
          <w:bCs/>
          <w:iCs/>
          <w:sz w:val="22"/>
          <w:szCs w:val="22"/>
        </w:rPr>
        <w:t xml:space="preserve"> </w:t>
      </w:r>
      <w:proofErr w:type="spellStart"/>
      <w:r w:rsidR="001D26BE" w:rsidRPr="00A233D0">
        <w:rPr>
          <w:rFonts w:ascii="Century Schoolbook" w:hAnsi="Century Schoolbook"/>
          <w:bCs/>
          <w:iCs/>
          <w:sz w:val="22"/>
          <w:szCs w:val="22"/>
        </w:rPr>
        <w:t>mulatta</w:t>
      </w:r>
      <w:proofErr w:type="spellEnd"/>
      <w:r w:rsidR="001D26BE" w:rsidRPr="00A233D0">
        <w:rPr>
          <w:rFonts w:ascii="Century Schoolbook" w:hAnsi="Century Schoolbook"/>
          <w:bCs/>
          <w:iCs/>
          <w:sz w:val="22"/>
          <w:szCs w:val="22"/>
        </w:rPr>
        <w:t>)</w:t>
      </w:r>
      <w:r w:rsidR="001B5542">
        <w:rPr>
          <w:rFonts w:ascii="Century Schoolbook" w:hAnsi="Century Schoolbook"/>
          <w:bCs/>
          <w:iCs/>
          <w:sz w:val="22"/>
          <w:szCs w:val="22"/>
        </w:rPr>
        <w:t>.</w:t>
      </w:r>
      <w:r w:rsidR="001D26BE" w:rsidRPr="00A233D0">
        <w:rPr>
          <w:rFonts w:ascii="Century Schoolbook" w:hAnsi="Century Schoolbook"/>
          <w:bCs/>
          <w:iCs/>
          <w:sz w:val="22"/>
          <w:szCs w:val="22"/>
        </w:rPr>
        <w:t xml:space="preserve"> </w:t>
      </w:r>
      <w:proofErr w:type="spellStart"/>
      <w:r w:rsidR="00D824ED">
        <w:rPr>
          <w:rFonts w:ascii="Century Schoolbook" w:hAnsi="Century Schoolbook"/>
          <w:bCs/>
          <w:iCs/>
          <w:sz w:val="22"/>
          <w:szCs w:val="22"/>
        </w:rPr>
        <w:t>Toxicol</w:t>
      </w:r>
      <w:proofErr w:type="spellEnd"/>
      <w:r w:rsidR="00D824ED">
        <w:rPr>
          <w:rFonts w:ascii="Century Schoolbook" w:hAnsi="Century Schoolbook"/>
          <w:bCs/>
          <w:iCs/>
          <w:sz w:val="22"/>
          <w:szCs w:val="22"/>
        </w:rPr>
        <w:t xml:space="preserve"> </w:t>
      </w:r>
      <w:proofErr w:type="spellStart"/>
      <w:r w:rsidR="00D824ED">
        <w:rPr>
          <w:rFonts w:ascii="Century Schoolbook" w:hAnsi="Century Schoolbook"/>
          <w:bCs/>
          <w:iCs/>
          <w:sz w:val="22"/>
          <w:szCs w:val="22"/>
        </w:rPr>
        <w:t>Sci</w:t>
      </w:r>
      <w:proofErr w:type="spellEnd"/>
      <w:r w:rsidR="00D824ED">
        <w:rPr>
          <w:rFonts w:ascii="Century Schoolbook" w:hAnsi="Century Schoolbook"/>
          <w:bCs/>
          <w:iCs/>
          <w:sz w:val="22"/>
          <w:szCs w:val="22"/>
        </w:rPr>
        <w:t xml:space="preserve"> </w:t>
      </w:r>
      <w:proofErr w:type="gramStart"/>
      <w:r w:rsidR="00D824ED">
        <w:rPr>
          <w:rFonts w:ascii="Century Schoolbook" w:hAnsi="Century Schoolbook"/>
          <w:bCs/>
          <w:iCs/>
          <w:sz w:val="22"/>
          <w:szCs w:val="22"/>
        </w:rPr>
        <w:t xml:space="preserve">2008 </w:t>
      </w:r>
      <w:r w:rsidR="001B5542" w:rsidRPr="001B5542">
        <w:rPr>
          <w:rFonts w:ascii="Century Schoolbook" w:hAnsi="Century Schoolbook"/>
          <w:bCs/>
          <w:iCs/>
          <w:sz w:val="22"/>
          <w:szCs w:val="22"/>
        </w:rPr>
        <w:t>;102:352</w:t>
      </w:r>
      <w:proofErr w:type="gramEnd"/>
      <w:r w:rsidR="001B5542" w:rsidRPr="001B5542">
        <w:rPr>
          <w:rFonts w:ascii="Century Schoolbook" w:hAnsi="Century Schoolbook"/>
          <w:bCs/>
          <w:iCs/>
          <w:sz w:val="22"/>
          <w:szCs w:val="22"/>
        </w:rPr>
        <w:t>-8</w:t>
      </w:r>
      <w:r w:rsidR="001D26BE" w:rsidRPr="001B5542">
        <w:rPr>
          <w:rFonts w:ascii="Century Schoolbook" w:hAnsi="Century Schoolbook"/>
          <w:bCs/>
          <w:iCs/>
          <w:sz w:val="22"/>
          <w:szCs w:val="22"/>
        </w:rPr>
        <w:t>.</w:t>
      </w:r>
      <w:bookmarkEnd w:id="118"/>
      <w:bookmarkEnd w:id="119"/>
    </w:p>
    <w:p w:rsidR="001D26BE" w:rsidRPr="00C9399A" w:rsidRDefault="001D26BE" w:rsidP="005F7F4A">
      <w:pPr>
        <w:widowControl/>
        <w:rPr>
          <w:rFonts w:ascii="Century Schoolbook" w:hAnsi="Century Schoolbook"/>
          <w:sz w:val="22"/>
          <w:szCs w:val="22"/>
        </w:rPr>
      </w:pPr>
    </w:p>
    <w:p w:rsidR="001D26BE" w:rsidRDefault="00484C51" w:rsidP="00484C51">
      <w:pPr>
        <w:autoSpaceDE w:val="0"/>
        <w:autoSpaceDN w:val="0"/>
        <w:adjustRightInd w:val="0"/>
        <w:ind w:leftChars="-3" w:left="2" w:hangingChars="4" w:hanging="9"/>
        <w:textAlignment w:val="bottom"/>
        <w:rPr>
          <w:rFonts w:ascii="Century Schoolbook" w:hAnsi="Century Schoolbook"/>
          <w:sz w:val="22"/>
          <w:szCs w:val="22"/>
        </w:rPr>
      </w:pPr>
      <w:r w:rsidRPr="00484C51">
        <w:rPr>
          <w:rFonts w:ascii="Century Schoolbook" w:hAnsi="Century Schoolbook"/>
          <w:sz w:val="22"/>
          <w:szCs w:val="22"/>
        </w:rPr>
        <w:t xml:space="preserve">Kasper P, Uno Y, </w:t>
      </w:r>
      <w:proofErr w:type="spellStart"/>
      <w:r w:rsidRPr="00484C51">
        <w:rPr>
          <w:rFonts w:ascii="Century Schoolbook" w:hAnsi="Century Schoolbook"/>
          <w:sz w:val="22"/>
          <w:szCs w:val="22"/>
        </w:rPr>
        <w:t>Mauthe</w:t>
      </w:r>
      <w:proofErr w:type="spellEnd"/>
      <w:r w:rsidRPr="00484C51">
        <w:rPr>
          <w:rFonts w:ascii="Century Schoolbook" w:hAnsi="Century Schoolbook"/>
          <w:sz w:val="22"/>
          <w:szCs w:val="22"/>
        </w:rPr>
        <w:t xml:space="preserve"> R, Asano N, Douglas G, Matthews E et al. Follow-up testing of </w:t>
      </w:r>
      <w:r w:rsidRPr="00484C51">
        <w:rPr>
          <w:rFonts w:ascii="Century Schoolbook" w:hAnsi="Century Schoolbook"/>
          <w:sz w:val="22"/>
          <w:szCs w:val="22"/>
        </w:rPr>
        <w:lastRenderedPageBreak/>
        <w:t xml:space="preserve">rodent carcinogens not positive in the standard </w:t>
      </w:r>
      <w:proofErr w:type="spellStart"/>
      <w:r w:rsidRPr="00484C51">
        <w:rPr>
          <w:rFonts w:ascii="Century Schoolbook" w:hAnsi="Century Schoolbook"/>
          <w:sz w:val="22"/>
          <w:szCs w:val="22"/>
        </w:rPr>
        <w:t>genotoxicity</w:t>
      </w:r>
      <w:proofErr w:type="spellEnd"/>
      <w:r w:rsidRPr="00484C51">
        <w:rPr>
          <w:rFonts w:ascii="Century Schoolbook" w:hAnsi="Century Schoolbook"/>
          <w:sz w:val="22"/>
          <w:szCs w:val="22"/>
        </w:rPr>
        <w:t xml:space="preserve"> testing battery:  IWGT workgroup report. </w:t>
      </w:r>
      <w:proofErr w:type="spellStart"/>
      <w:r w:rsidRPr="00484C51">
        <w:rPr>
          <w:rFonts w:ascii="Century Schoolbook" w:hAnsi="Century Schoolbook"/>
          <w:sz w:val="22"/>
          <w:szCs w:val="22"/>
        </w:rPr>
        <w:t>Mutat</w:t>
      </w:r>
      <w:proofErr w:type="spellEnd"/>
      <w:r w:rsidRPr="00484C51">
        <w:rPr>
          <w:rFonts w:ascii="Century Schoolbook" w:hAnsi="Century Schoolbook"/>
          <w:sz w:val="22"/>
          <w:szCs w:val="22"/>
        </w:rPr>
        <w:t xml:space="preserve"> Res 2007</w:t>
      </w:r>
      <w:proofErr w:type="gramStart"/>
      <w:r w:rsidRPr="00484C51">
        <w:rPr>
          <w:rFonts w:ascii="Century Schoolbook" w:hAnsi="Century Schoolbook"/>
          <w:sz w:val="22"/>
          <w:szCs w:val="22"/>
        </w:rPr>
        <w:t>;627:106</w:t>
      </w:r>
      <w:proofErr w:type="gramEnd"/>
      <w:r w:rsidRPr="00484C51">
        <w:rPr>
          <w:rFonts w:ascii="Century Schoolbook" w:hAnsi="Century Schoolbook"/>
          <w:sz w:val="22"/>
          <w:szCs w:val="22"/>
        </w:rPr>
        <w:t>-116.</w:t>
      </w:r>
    </w:p>
    <w:p w:rsidR="00484C51" w:rsidRPr="00C9399A" w:rsidRDefault="00484C51" w:rsidP="00484C51">
      <w:pPr>
        <w:autoSpaceDE w:val="0"/>
        <w:autoSpaceDN w:val="0"/>
        <w:adjustRightInd w:val="0"/>
        <w:ind w:left="550" w:hangingChars="250" w:hanging="550"/>
        <w:textAlignment w:val="bottom"/>
        <w:rPr>
          <w:rFonts w:ascii="Century Schoolbook" w:hAnsi="Century Schoolbook"/>
          <w:kern w:val="0"/>
          <w:sz w:val="22"/>
          <w:szCs w:val="22"/>
        </w:rPr>
      </w:pPr>
    </w:p>
    <w:p w:rsidR="00484C51" w:rsidRPr="00484C51" w:rsidRDefault="00484C51" w:rsidP="00484C51">
      <w:pPr>
        <w:widowControl/>
        <w:rPr>
          <w:rFonts w:ascii="Century Schoolbook" w:hAnsi="Century Schoolbook"/>
          <w:kern w:val="0"/>
          <w:sz w:val="22"/>
          <w:szCs w:val="22"/>
          <w:lang w:val="en-GB"/>
        </w:rPr>
      </w:pPr>
      <w:proofErr w:type="spellStart"/>
      <w:r w:rsidRPr="00484C51">
        <w:rPr>
          <w:rFonts w:ascii="Century Schoolbook" w:hAnsi="Century Schoolbook"/>
          <w:kern w:val="0"/>
          <w:sz w:val="22"/>
          <w:szCs w:val="22"/>
          <w:lang w:val="en-GB"/>
        </w:rPr>
        <w:t>Kenelly</w:t>
      </w:r>
      <w:proofErr w:type="spellEnd"/>
      <w:r w:rsidRPr="00484C51">
        <w:rPr>
          <w:rFonts w:ascii="Century Schoolbook" w:hAnsi="Century Schoolbook"/>
          <w:kern w:val="0"/>
          <w:sz w:val="22"/>
          <w:szCs w:val="22"/>
          <w:lang w:val="en-GB"/>
        </w:rPr>
        <w:t xml:space="preserve"> JC, Waters R, Ashby J, </w:t>
      </w:r>
      <w:proofErr w:type="spellStart"/>
      <w:r w:rsidRPr="00484C51">
        <w:rPr>
          <w:rFonts w:ascii="Century Schoolbook" w:hAnsi="Century Schoolbook"/>
          <w:kern w:val="0"/>
          <w:sz w:val="22"/>
          <w:szCs w:val="22"/>
          <w:lang w:val="en-GB"/>
        </w:rPr>
        <w:t>Lefevre</w:t>
      </w:r>
      <w:proofErr w:type="spellEnd"/>
      <w:r w:rsidRPr="00484C51">
        <w:rPr>
          <w:rFonts w:ascii="Century Schoolbook" w:hAnsi="Century Schoolbook"/>
          <w:kern w:val="0"/>
          <w:sz w:val="22"/>
          <w:szCs w:val="22"/>
          <w:lang w:val="en-GB"/>
        </w:rPr>
        <w:t xml:space="preserve"> PA, </w:t>
      </w:r>
      <w:proofErr w:type="spellStart"/>
      <w:r w:rsidRPr="00484C51">
        <w:rPr>
          <w:rFonts w:ascii="Century Schoolbook" w:hAnsi="Century Schoolbook"/>
          <w:kern w:val="0"/>
          <w:sz w:val="22"/>
          <w:szCs w:val="22"/>
          <w:lang w:val="en-GB"/>
        </w:rPr>
        <w:t>Burlinson</w:t>
      </w:r>
      <w:proofErr w:type="spellEnd"/>
      <w:r w:rsidRPr="00484C51">
        <w:rPr>
          <w:rFonts w:ascii="Century Schoolbook" w:hAnsi="Century Schoolbook"/>
          <w:kern w:val="0"/>
          <w:sz w:val="22"/>
          <w:szCs w:val="22"/>
          <w:lang w:val="en-GB"/>
        </w:rPr>
        <w:t xml:space="preserve"> B, </w:t>
      </w:r>
      <w:proofErr w:type="spellStart"/>
      <w:r w:rsidRPr="00484C51">
        <w:rPr>
          <w:rFonts w:ascii="Century Schoolbook" w:hAnsi="Century Schoolbook"/>
          <w:kern w:val="0"/>
          <w:sz w:val="22"/>
          <w:szCs w:val="22"/>
          <w:lang w:val="en-GB"/>
        </w:rPr>
        <w:t>Benford</w:t>
      </w:r>
      <w:proofErr w:type="spellEnd"/>
      <w:r w:rsidRPr="00484C51">
        <w:rPr>
          <w:rFonts w:ascii="Century Schoolbook" w:hAnsi="Century Schoolbook"/>
          <w:kern w:val="0"/>
          <w:sz w:val="22"/>
          <w:szCs w:val="22"/>
          <w:lang w:val="en-GB"/>
        </w:rPr>
        <w:t xml:space="preserve"> DJ et al. </w:t>
      </w:r>
      <w:r w:rsidRPr="00484C51">
        <w:rPr>
          <w:rFonts w:ascii="Century Schoolbook" w:hAnsi="Century Schoolbook"/>
          <w:i/>
          <w:iCs/>
          <w:kern w:val="0"/>
          <w:sz w:val="22"/>
          <w:szCs w:val="22"/>
          <w:lang w:val="en-GB"/>
        </w:rPr>
        <w:t xml:space="preserve">In vivo </w:t>
      </w:r>
      <w:r w:rsidRPr="00484C51">
        <w:rPr>
          <w:rFonts w:ascii="Century Schoolbook" w:hAnsi="Century Schoolbook"/>
          <w:kern w:val="0"/>
          <w:sz w:val="22"/>
          <w:szCs w:val="22"/>
          <w:lang w:val="en-GB"/>
        </w:rPr>
        <w:t xml:space="preserve">rat liver UDS assay. In: Supplementary </w:t>
      </w:r>
      <w:proofErr w:type="spellStart"/>
      <w:r w:rsidRPr="00484C51">
        <w:rPr>
          <w:rFonts w:ascii="Century Schoolbook" w:hAnsi="Century Schoolbook"/>
          <w:kern w:val="0"/>
          <w:sz w:val="22"/>
          <w:szCs w:val="22"/>
          <w:lang w:val="en-GB"/>
        </w:rPr>
        <w:t>Mutagenicity</w:t>
      </w:r>
      <w:proofErr w:type="spellEnd"/>
      <w:r w:rsidRPr="00484C51">
        <w:rPr>
          <w:rFonts w:ascii="Century Schoolbook" w:hAnsi="Century Schoolbook"/>
          <w:kern w:val="0"/>
          <w:sz w:val="22"/>
          <w:szCs w:val="22"/>
          <w:lang w:val="en-GB"/>
        </w:rPr>
        <w:t xml:space="preserve"> Tests, UKEMS Recommended Procedures. </w:t>
      </w:r>
      <w:proofErr w:type="gramStart"/>
      <w:r w:rsidRPr="00484C51">
        <w:rPr>
          <w:rFonts w:ascii="Century Schoolbook" w:hAnsi="Century Schoolbook"/>
          <w:kern w:val="0"/>
          <w:sz w:val="22"/>
          <w:szCs w:val="22"/>
          <w:lang w:val="en-GB"/>
        </w:rPr>
        <w:t>Kirkland DJ, Fox M, editors.</w:t>
      </w:r>
      <w:proofErr w:type="gramEnd"/>
      <w:r w:rsidRPr="00484C51">
        <w:rPr>
          <w:rFonts w:ascii="Century Schoolbook" w:hAnsi="Century Schoolbook"/>
          <w:kern w:val="0"/>
          <w:sz w:val="22"/>
          <w:szCs w:val="22"/>
          <w:lang w:val="en-GB"/>
        </w:rPr>
        <w:t xml:space="preserve"> Cambridge University Press</w:t>
      </w:r>
      <w:r w:rsidR="00FD2591">
        <w:rPr>
          <w:rFonts w:ascii="Century Schoolbook" w:hAnsi="Century Schoolbook"/>
          <w:kern w:val="0"/>
          <w:sz w:val="22"/>
          <w:szCs w:val="22"/>
          <w:lang w:val="en-GB"/>
        </w:rPr>
        <w:t xml:space="preserve"> </w:t>
      </w:r>
      <w:r w:rsidRPr="00484C51">
        <w:rPr>
          <w:rFonts w:ascii="Century Schoolbook" w:hAnsi="Century Schoolbook"/>
          <w:kern w:val="0"/>
          <w:sz w:val="22"/>
          <w:szCs w:val="22"/>
          <w:lang w:val="en-GB"/>
        </w:rPr>
        <w:t>1993</w:t>
      </w:r>
      <w:proofErr w:type="gramStart"/>
      <w:r w:rsidR="00FD2591">
        <w:rPr>
          <w:rFonts w:ascii="Century Schoolbook" w:hAnsi="Century Schoolbook"/>
          <w:kern w:val="0"/>
          <w:sz w:val="22"/>
          <w:szCs w:val="22"/>
          <w:lang w:val="en-GB"/>
        </w:rPr>
        <w:t>;</w:t>
      </w:r>
      <w:r w:rsidRPr="00484C51">
        <w:rPr>
          <w:rFonts w:ascii="Century Schoolbook" w:hAnsi="Century Schoolbook"/>
          <w:kern w:val="0"/>
          <w:sz w:val="22"/>
          <w:szCs w:val="22"/>
          <w:lang w:val="en-GB"/>
        </w:rPr>
        <w:t>52</w:t>
      </w:r>
      <w:proofErr w:type="gramEnd"/>
      <w:r w:rsidRPr="00484C51">
        <w:rPr>
          <w:rFonts w:ascii="Century Schoolbook" w:hAnsi="Century Schoolbook"/>
          <w:kern w:val="0"/>
          <w:sz w:val="22"/>
          <w:szCs w:val="22"/>
          <w:lang w:val="en-GB"/>
        </w:rPr>
        <w:t>-77.</w:t>
      </w:r>
    </w:p>
    <w:p w:rsidR="001D26BE" w:rsidRPr="00C9399A" w:rsidRDefault="001D26BE" w:rsidP="005F7F4A">
      <w:pPr>
        <w:widowControl/>
        <w:rPr>
          <w:rFonts w:ascii="Century Schoolbook" w:hAnsi="Century Schoolbook"/>
          <w:sz w:val="22"/>
          <w:szCs w:val="22"/>
        </w:rPr>
      </w:pPr>
    </w:p>
    <w:p w:rsidR="00FD2591" w:rsidRPr="00FD2591" w:rsidRDefault="00FD2591" w:rsidP="00FD2591">
      <w:pPr>
        <w:widowControl/>
        <w:rPr>
          <w:rFonts w:ascii="Century Schoolbook" w:hAnsi="Century Schoolbook"/>
          <w:sz w:val="22"/>
          <w:szCs w:val="22"/>
          <w:lang w:val="en-GB"/>
        </w:rPr>
      </w:pPr>
      <w:r w:rsidRPr="00FD2591">
        <w:rPr>
          <w:rFonts w:ascii="Century Schoolbook" w:hAnsi="Century Schoolbook"/>
          <w:sz w:val="22"/>
          <w:szCs w:val="22"/>
          <w:lang w:val="en-GB"/>
        </w:rPr>
        <w:t xml:space="preserve">Kirkland DJ, </w:t>
      </w:r>
      <w:proofErr w:type="spellStart"/>
      <w:r w:rsidRPr="00FD2591">
        <w:rPr>
          <w:rFonts w:ascii="Century Schoolbook" w:hAnsi="Century Schoolbook"/>
          <w:sz w:val="22"/>
          <w:szCs w:val="22"/>
          <w:lang w:val="en-GB"/>
        </w:rPr>
        <w:t>Pfuhler</w:t>
      </w:r>
      <w:proofErr w:type="spellEnd"/>
      <w:r w:rsidRPr="00FD2591">
        <w:rPr>
          <w:rFonts w:ascii="Century Schoolbook" w:hAnsi="Century Schoolbook"/>
          <w:sz w:val="22"/>
          <w:szCs w:val="22"/>
          <w:lang w:val="en-GB"/>
        </w:rPr>
        <w:t xml:space="preserve"> S, </w:t>
      </w:r>
      <w:proofErr w:type="spellStart"/>
      <w:r w:rsidRPr="00FD2591">
        <w:rPr>
          <w:rFonts w:ascii="Century Schoolbook" w:hAnsi="Century Schoolbook"/>
          <w:sz w:val="22"/>
          <w:szCs w:val="22"/>
          <w:lang w:val="en-GB"/>
        </w:rPr>
        <w:t>Tweats</w:t>
      </w:r>
      <w:proofErr w:type="spellEnd"/>
      <w:r w:rsidRPr="00FD2591">
        <w:rPr>
          <w:rFonts w:ascii="Century Schoolbook" w:hAnsi="Century Schoolbook"/>
          <w:sz w:val="22"/>
          <w:szCs w:val="22"/>
          <w:lang w:val="en-GB"/>
        </w:rPr>
        <w:t xml:space="preserve"> D, </w:t>
      </w:r>
      <w:proofErr w:type="spellStart"/>
      <w:r w:rsidRPr="00FD2591">
        <w:rPr>
          <w:rFonts w:ascii="Century Schoolbook" w:hAnsi="Century Schoolbook"/>
          <w:sz w:val="22"/>
          <w:szCs w:val="22"/>
          <w:lang w:val="en-GB"/>
        </w:rPr>
        <w:t>Aardema</w:t>
      </w:r>
      <w:proofErr w:type="spellEnd"/>
      <w:r w:rsidRPr="00FD2591">
        <w:rPr>
          <w:rFonts w:ascii="Century Schoolbook" w:hAnsi="Century Schoolbook"/>
          <w:sz w:val="22"/>
          <w:szCs w:val="22"/>
          <w:lang w:val="en-GB"/>
        </w:rPr>
        <w:t xml:space="preserve"> M, </w:t>
      </w:r>
      <w:proofErr w:type="spellStart"/>
      <w:r w:rsidRPr="00FD2591">
        <w:rPr>
          <w:rFonts w:ascii="Century Schoolbook" w:hAnsi="Century Schoolbook"/>
          <w:sz w:val="22"/>
          <w:szCs w:val="22"/>
          <w:lang w:val="en-GB"/>
        </w:rPr>
        <w:t>Corvi</w:t>
      </w:r>
      <w:proofErr w:type="spellEnd"/>
      <w:r w:rsidRPr="00FD2591">
        <w:rPr>
          <w:rFonts w:ascii="Century Schoolbook" w:hAnsi="Century Schoolbook"/>
          <w:sz w:val="22"/>
          <w:szCs w:val="22"/>
          <w:lang w:val="en-GB"/>
        </w:rPr>
        <w:t xml:space="preserve"> R, </w:t>
      </w:r>
      <w:proofErr w:type="spellStart"/>
      <w:r w:rsidRPr="00FD2591">
        <w:rPr>
          <w:rFonts w:ascii="Century Schoolbook" w:hAnsi="Century Schoolbook"/>
          <w:sz w:val="22"/>
          <w:szCs w:val="22"/>
          <w:lang w:val="en-GB"/>
        </w:rPr>
        <w:t>Darroudi</w:t>
      </w:r>
      <w:proofErr w:type="spellEnd"/>
      <w:r w:rsidRPr="00FD2591">
        <w:rPr>
          <w:rFonts w:ascii="Century Schoolbook" w:hAnsi="Century Schoolbook"/>
          <w:sz w:val="22"/>
          <w:szCs w:val="22"/>
          <w:lang w:val="en-GB"/>
        </w:rPr>
        <w:t xml:space="preserve"> F et al. How to reduce false positive results when undertaking </w:t>
      </w:r>
      <w:r w:rsidRPr="00FD2591">
        <w:rPr>
          <w:rFonts w:ascii="Century Schoolbook" w:hAnsi="Century Schoolbook"/>
          <w:i/>
          <w:sz w:val="22"/>
          <w:szCs w:val="22"/>
          <w:lang w:val="en-GB"/>
        </w:rPr>
        <w:t>in vitro</w:t>
      </w:r>
      <w:r w:rsidRPr="00FD2591">
        <w:rPr>
          <w:rFonts w:ascii="Century Schoolbook" w:hAnsi="Century Schoolbook"/>
          <w:sz w:val="22"/>
          <w:szCs w:val="22"/>
          <w:lang w:val="en-GB"/>
        </w:rPr>
        <w:t xml:space="preserve"> </w:t>
      </w:r>
      <w:proofErr w:type="spellStart"/>
      <w:r w:rsidRPr="00FD2591">
        <w:rPr>
          <w:rFonts w:ascii="Century Schoolbook" w:hAnsi="Century Schoolbook"/>
          <w:sz w:val="22"/>
          <w:szCs w:val="22"/>
          <w:lang w:val="en-GB"/>
        </w:rPr>
        <w:t>genotoxicity</w:t>
      </w:r>
      <w:proofErr w:type="spellEnd"/>
      <w:r w:rsidRPr="00FD2591">
        <w:rPr>
          <w:rFonts w:ascii="Century Schoolbook" w:hAnsi="Century Schoolbook"/>
          <w:sz w:val="22"/>
          <w:szCs w:val="22"/>
          <w:lang w:val="en-GB"/>
        </w:rPr>
        <w:t xml:space="preserve"> testing and thus avoid unnecessary follow-up animal tests: </w:t>
      </w:r>
      <w:r>
        <w:rPr>
          <w:rFonts w:ascii="Century Schoolbook" w:hAnsi="Century Schoolbook"/>
          <w:sz w:val="22"/>
          <w:szCs w:val="22"/>
          <w:lang w:val="en-GB"/>
        </w:rPr>
        <w:t>r</w:t>
      </w:r>
      <w:r w:rsidRPr="00FD2591">
        <w:rPr>
          <w:rFonts w:ascii="Century Schoolbook" w:hAnsi="Century Schoolbook"/>
          <w:sz w:val="22"/>
          <w:szCs w:val="22"/>
          <w:lang w:val="en-GB"/>
        </w:rPr>
        <w:t>eport of the ECVAM workshop.</w:t>
      </w:r>
      <w:r w:rsidRPr="00FD2591">
        <w:rPr>
          <w:rFonts w:ascii="Century Schoolbook" w:hAnsi="Century Schoolbook"/>
          <w:i/>
          <w:iCs/>
          <w:sz w:val="22"/>
          <w:szCs w:val="22"/>
          <w:lang w:val="en-GB"/>
        </w:rPr>
        <w:t xml:space="preserve"> </w:t>
      </w:r>
      <w:proofErr w:type="spellStart"/>
      <w:r w:rsidRPr="00FD2591">
        <w:rPr>
          <w:rFonts w:ascii="Century Schoolbook" w:hAnsi="Century Schoolbook"/>
          <w:iCs/>
          <w:sz w:val="22"/>
          <w:szCs w:val="22"/>
          <w:lang w:val="en-GB"/>
        </w:rPr>
        <w:t>Mutat</w:t>
      </w:r>
      <w:proofErr w:type="spellEnd"/>
      <w:r w:rsidRPr="00FD2591">
        <w:rPr>
          <w:rFonts w:ascii="Century Schoolbook" w:hAnsi="Century Schoolbook"/>
          <w:iCs/>
          <w:sz w:val="22"/>
          <w:szCs w:val="22"/>
          <w:lang w:val="en-GB"/>
        </w:rPr>
        <w:t xml:space="preserve"> </w:t>
      </w:r>
      <w:proofErr w:type="spellStart"/>
      <w:r w:rsidRPr="00FD2591">
        <w:rPr>
          <w:rFonts w:ascii="Century Schoolbook" w:hAnsi="Century Schoolbook"/>
          <w:iCs/>
          <w:sz w:val="22"/>
          <w:szCs w:val="22"/>
          <w:lang w:val="en-GB"/>
        </w:rPr>
        <w:t>Res</w:t>
      </w:r>
      <w:proofErr w:type="spellEnd"/>
      <w:r w:rsidRPr="00FD2591">
        <w:rPr>
          <w:rFonts w:ascii="Century Schoolbook" w:hAnsi="Century Schoolbook"/>
          <w:iCs/>
          <w:sz w:val="22"/>
          <w:szCs w:val="22"/>
          <w:lang w:val="en-GB"/>
        </w:rPr>
        <w:t xml:space="preserve"> 2007</w:t>
      </w:r>
      <w:proofErr w:type="gramStart"/>
      <w:r w:rsidRPr="00FD2591">
        <w:rPr>
          <w:rFonts w:ascii="Century Schoolbook" w:hAnsi="Century Schoolbook"/>
          <w:iCs/>
          <w:sz w:val="22"/>
          <w:szCs w:val="22"/>
          <w:lang w:val="en-GB"/>
        </w:rPr>
        <w:t>;</w:t>
      </w:r>
      <w:r w:rsidRPr="00FD2591">
        <w:rPr>
          <w:rFonts w:ascii="Century Schoolbook" w:hAnsi="Century Schoolbook"/>
          <w:sz w:val="22"/>
          <w:szCs w:val="22"/>
          <w:lang w:val="en-GB"/>
        </w:rPr>
        <w:t>628:31</w:t>
      </w:r>
      <w:proofErr w:type="gramEnd"/>
      <w:r w:rsidRPr="00FD2591">
        <w:rPr>
          <w:rFonts w:ascii="Century Schoolbook" w:hAnsi="Century Schoolbook"/>
          <w:sz w:val="22"/>
          <w:szCs w:val="22"/>
          <w:lang w:val="en-GB"/>
        </w:rPr>
        <w:t>-55.</w:t>
      </w:r>
    </w:p>
    <w:p w:rsidR="001D26BE" w:rsidRPr="00C9399A" w:rsidRDefault="001D26BE" w:rsidP="005F7F4A">
      <w:pPr>
        <w:widowControl/>
        <w:rPr>
          <w:rFonts w:ascii="Century Schoolbook" w:hAnsi="Century Schoolbook"/>
          <w:sz w:val="22"/>
          <w:szCs w:val="22"/>
        </w:rPr>
      </w:pPr>
    </w:p>
    <w:p w:rsidR="003E560C" w:rsidRPr="003E560C" w:rsidRDefault="003E560C" w:rsidP="003E560C">
      <w:pPr>
        <w:widowControl/>
        <w:rPr>
          <w:rFonts w:ascii="Century Schoolbook" w:hAnsi="Century Schoolbook"/>
          <w:sz w:val="22"/>
          <w:szCs w:val="22"/>
          <w:lang w:val="de-DE"/>
        </w:rPr>
      </w:pPr>
      <w:r w:rsidRPr="003E560C">
        <w:rPr>
          <w:rFonts w:ascii="Century Schoolbook" w:hAnsi="Century Schoolbook"/>
          <w:sz w:val="22"/>
          <w:szCs w:val="22"/>
          <w:lang w:val="en-GB"/>
        </w:rPr>
        <w:t>Kirsch</w:t>
      </w:r>
      <w:r w:rsidRPr="003E560C">
        <w:rPr>
          <w:rFonts w:ascii="Century Schoolbook" w:hAnsi="Century Schoolbook"/>
          <w:sz w:val="22"/>
          <w:szCs w:val="22"/>
          <w:lang w:val="de-DE"/>
        </w:rPr>
        <w:t xml:space="preserve">-Volders M, Sofuni T, Aardema M, Albertini S, Eastmond D, Fenech </w:t>
      </w:r>
      <w:proofErr w:type="gramStart"/>
      <w:r w:rsidRPr="003E560C">
        <w:rPr>
          <w:rFonts w:ascii="Century Schoolbook" w:hAnsi="Century Schoolbook"/>
          <w:sz w:val="22"/>
          <w:szCs w:val="22"/>
          <w:lang w:val="de-DE"/>
        </w:rPr>
        <w:t>M  et</w:t>
      </w:r>
      <w:proofErr w:type="gramEnd"/>
      <w:r w:rsidRPr="003E560C">
        <w:rPr>
          <w:rFonts w:ascii="Century Schoolbook" w:hAnsi="Century Schoolbook"/>
          <w:sz w:val="22"/>
          <w:szCs w:val="22"/>
          <w:lang w:val="de-DE"/>
        </w:rPr>
        <w:t xml:space="preserve"> al. Report from the </w:t>
      </w:r>
      <w:r w:rsidRPr="003E560C">
        <w:rPr>
          <w:rFonts w:ascii="Century Schoolbook" w:hAnsi="Century Schoolbook"/>
          <w:i/>
          <w:sz w:val="22"/>
          <w:szCs w:val="22"/>
          <w:lang w:val="de-DE"/>
        </w:rPr>
        <w:t>in vitro</w:t>
      </w:r>
      <w:r w:rsidRPr="003E560C">
        <w:rPr>
          <w:rFonts w:ascii="Century Schoolbook" w:hAnsi="Century Schoolbook"/>
          <w:sz w:val="22"/>
          <w:szCs w:val="22"/>
          <w:lang w:val="de-DE"/>
        </w:rPr>
        <w:t xml:space="preserve"> micronucleus assay working group. </w:t>
      </w:r>
      <w:r w:rsidRPr="003E560C">
        <w:rPr>
          <w:rFonts w:ascii="Century Schoolbook" w:hAnsi="Century Schoolbook"/>
          <w:iCs/>
          <w:sz w:val="22"/>
          <w:szCs w:val="22"/>
          <w:lang w:val="de-DE"/>
        </w:rPr>
        <w:t>Mutat Res 2003;</w:t>
      </w:r>
      <w:r w:rsidRPr="003E560C">
        <w:rPr>
          <w:rFonts w:ascii="Century Schoolbook" w:hAnsi="Century Schoolbook"/>
          <w:sz w:val="22"/>
          <w:szCs w:val="22"/>
          <w:lang w:val="de-DE"/>
        </w:rPr>
        <w:t>540:153-63.</w:t>
      </w:r>
    </w:p>
    <w:p w:rsidR="001D26BE" w:rsidRPr="00C9399A" w:rsidRDefault="001D26BE" w:rsidP="005F7F4A">
      <w:pPr>
        <w:widowControl/>
        <w:rPr>
          <w:rFonts w:ascii="Century Schoolbook" w:hAnsi="Century Schoolbook"/>
          <w:sz w:val="22"/>
          <w:szCs w:val="22"/>
        </w:rPr>
      </w:pPr>
    </w:p>
    <w:p w:rsidR="00B164F1" w:rsidRPr="00B164F1" w:rsidRDefault="00B164F1" w:rsidP="00B164F1">
      <w:pPr>
        <w:widowControl/>
        <w:rPr>
          <w:rFonts w:ascii="Century Schoolbook" w:hAnsi="Century Schoolbook"/>
          <w:sz w:val="22"/>
          <w:szCs w:val="22"/>
          <w:lang w:val="en-GB"/>
        </w:rPr>
      </w:pPr>
      <w:proofErr w:type="spellStart"/>
      <w:r w:rsidRPr="00B164F1">
        <w:rPr>
          <w:rFonts w:ascii="Century Schoolbook" w:hAnsi="Century Schoolbook"/>
          <w:sz w:val="22"/>
          <w:szCs w:val="22"/>
          <w:lang w:val="en-GB"/>
        </w:rPr>
        <w:t>Kissling</w:t>
      </w:r>
      <w:proofErr w:type="spellEnd"/>
      <w:r w:rsidRPr="00B164F1">
        <w:rPr>
          <w:rFonts w:ascii="Century Schoolbook" w:hAnsi="Century Schoolbook"/>
          <w:sz w:val="22"/>
          <w:szCs w:val="22"/>
          <w:lang w:val="en-GB"/>
        </w:rPr>
        <w:t xml:space="preserve"> GE, </w:t>
      </w:r>
      <w:proofErr w:type="spellStart"/>
      <w:smartTag w:uri="urn:schemas-microsoft-com:office:smarttags" w:element="place">
        <w:smartTag w:uri="urn:schemas-microsoft-com:office:smarttags" w:element="City">
          <w:r w:rsidRPr="00B164F1">
            <w:rPr>
              <w:rFonts w:ascii="Century Schoolbook" w:hAnsi="Century Schoolbook"/>
              <w:sz w:val="22"/>
              <w:szCs w:val="22"/>
              <w:lang w:val="en-GB"/>
            </w:rPr>
            <w:t>Dertinger</w:t>
          </w:r>
        </w:smartTag>
        <w:proofErr w:type="spellEnd"/>
        <w:r w:rsidRPr="00B164F1">
          <w:rPr>
            <w:rFonts w:ascii="Century Schoolbook" w:hAnsi="Century Schoolbook"/>
            <w:sz w:val="22"/>
            <w:szCs w:val="22"/>
            <w:lang w:val="en-GB"/>
          </w:rPr>
          <w:t xml:space="preserve"> </w:t>
        </w:r>
        <w:smartTag w:uri="urn:schemas-microsoft-com:office:smarttags" w:element="State">
          <w:r w:rsidRPr="00B164F1">
            <w:rPr>
              <w:rFonts w:ascii="Century Schoolbook" w:hAnsi="Century Schoolbook"/>
              <w:sz w:val="22"/>
              <w:szCs w:val="22"/>
              <w:lang w:val="en-GB"/>
            </w:rPr>
            <w:t>SD</w:t>
          </w:r>
        </w:smartTag>
      </w:smartTag>
      <w:r w:rsidRPr="00B164F1">
        <w:rPr>
          <w:rFonts w:ascii="Century Schoolbook" w:hAnsi="Century Schoolbook"/>
          <w:sz w:val="22"/>
          <w:szCs w:val="22"/>
          <w:lang w:val="en-GB"/>
        </w:rPr>
        <w:t xml:space="preserve">, Hayashi M, </w:t>
      </w:r>
      <w:proofErr w:type="spellStart"/>
      <w:r w:rsidRPr="00B164F1">
        <w:rPr>
          <w:rFonts w:ascii="Century Schoolbook" w:hAnsi="Century Schoolbook"/>
          <w:sz w:val="22"/>
          <w:szCs w:val="22"/>
          <w:lang w:val="en-GB"/>
        </w:rPr>
        <w:t>MacGregor</w:t>
      </w:r>
      <w:proofErr w:type="spellEnd"/>
      <w:r w:rsidRPr="00B164F1">
        <w:rPr>
          <w:rFonts w:ascii="Century Schoolbook" w:hAnsi="Century Schoolbook"/>
          <w:sz w:val="22"/>
          <w:szCs w:val="22"/>
          <w:lang w:val="en-GB"/>
        </w:rPr>
        <w:t xml:space="preserve"> JT. Sensitivity of the erythrocyte micronucleus assay: </w:t>
      </w:r>
      <w:r>
        <w:rPr>
          <w:rFonts w:ascii="Century Schoolbook" w:hAnsi="Century Schoolbook"/>
          <w:sz w:val="22"/>
          <w:szCs w:val="22"/>
          <w:lang w:val="en-GB"/>
        </w:rPr>
        <w:t>d</w:t>
      </w:r>
      <w:r w:rsidRPr="00B164F1">
        <w:rPr>
          <w:rFonts w:ascii="Century Schoolbook" w:hAnsi="Century Schoolbook"/>
          <w:sz w:val="22"/>
          <w:szCs w:val="22"/>
          <w:lang w:val="en-GB"/>
        </w:rPr>
        <w:t xml:space="preserve">ependence on number of cells scored and inter-animal variability. </w:t>
      </w:r>
      <w:proofErr w:type="spellStart"/>
      <w:r w:rsidRPr="00B164F1">
        <w:rPr>
          <w:rFonts w:ascii="Century Schoolbook" w:hAnsi="Century Schoolbook"/>
          <w:sz w:val="22"/>
          <w:szCs w:val="22"/>
          <w:lang w:val="en-GB"/>
        </w:rPr>
        <w:t>Mutat</w:t>
      </w:r>
      <w:proofErr w:type="spellEnd"/>
      <w:r w:rsidRPr="00B164F1">
        <w:rPr>
          <w:rFonts w:ascii="Century Schoolbook" w:hAnsi="Century Schoolbook"/>
          <w:sz w:val="22"/>
          <w:szCs w:val="22"/>
          <w:lang w:val="en-GB"/>
        </w:rPr>
        <w:t xml:space="preserve"> </w:t>
      </w:r>
      <w:proofErr w:type="spellStart"/>
      <w:r w:rsidRPr="00B164F1">
        <w:rPr>
          <w:rFonts w:ascii="Century Schoolbook" w:hAnsi="Century Schoolbook"/>
          <w:sz w:val="22"/>
          <w:szCs w:val="22"/>
          <w:lang w:val="en-GB"/>
        </w:rPr>
        <w:t>Res</w:t>
      </w:r>
      <w:proofErr w:type="spellEnd"/>
      <w:r w:rsidRPr="00B164F1">
        <w:rPr>
          <w:rFonts w:ascii="Century Schoolbook" w:hAnsi="Century Schoolbook"/>
          <w:i/>
          <w:sz w:val="22"/>
          <w:szCs w:val="22"/>
          <w:lang w:val="en-GB"/>
        </w:rPr>
        <w:t xml:space="preserve"> </w:t>
      </w:r>
      <w:r w:rsidRPr="00B164F1">
        <w:rPr>
          <w:rFonts w:ascii="Century Schoolbook" w:hAnsi="Century Schoolbook"/>
          <w:sz w:val="22"/>
          <w:szCs w:val="22"/>
          <w:lang w:val="en-GB"/>
        </w:rPr>
        <w:t>2007</w:t>
      </w:r>
      <w:proofErr w:type="gramStart"/>
      <w:r w:rsidRPr="00B164F1">
        <w:rPr>
          <w:rFonts w:ascii="Century Schoolbook" w:hAnsi="Century Schoolbook"/>
          <w:sz w:val="22"/>
          <w:szCs w:val="22"/>
          <w:lang w:val="en-GB"/>
        </w:rPr>
        <w:t>;634:</w:t>
      </w:r>
      <w:r>
        <w:rPr>
          <w:rFonts w:ascii="Century Schoolbook" w:hAnsi="Century Schoolbook"/>
          <w:sz w:val="22"/>
          <w:szCs w:val="22"/>
          <w:lang w:val="en-GB"/>
        </w:rPr>
        <w:t>235</w:t>
      </w:r>
      <w:proofErr w:type="gramEnd"/>
      <w:r>
        <w:rPr>
          <w:rFonts w:ascii="Century Schoolbook" w:hAnsi="Century Schoolbook"/>
          <w:sz w:val="22"/>
          <w:szCs w:val="22"/>
          <w:lang w:val="en-GB"/>
        </w:rPr>
        <w:t>-</w:t>
      </w:r>
      <w:r w:rsidRPr="00B164F1">
        <w:rPr>
          <w:rFonts w:ascii="Century Schoolbook" w:hAnsi="Century Schoolbook"/>
          <w:sz w:val="22"/>
          <w:szCs w:val="22"/>
          <w:lang w:val="en-GB"/>
        </w:rPr>
        <w:t>40.</w:t>
      </w:r>
    </w:p>
    <w:p w:rsidR="001D26BE" w:rsidRPr="00C9399A" w:rsidRDefault="001D26BE" w:rsidP="005F7F4A">
      <w:pPr>
        <w:widowControl/>
        <w:rPr>
          <w:rFonts w:ascii="Century Schoolbook" w:hAnsi="Century Schoolbook"/>
          <w:sz w:val="22"/>
          <w:szCs w:val="22"/>
        </w:rPr>
      </w:pPr>
    </w:p>
    <w:p w:rsidR="008A7853" w:rsidRPr="008A7853" w:rsidRDefault="008A7853" w:rsidP="008A7853">
      <w:pPr>
        <w:widowControl/>
        <w:rPr>
          <w:rFonts w:ascii="Century Schoolbook" w:hAnsi="Century Schoolbook"/>
          <w:sz w:val="22"/>
          <w:szCs w:val="22"/>
          <w:lang w:val="en-GB"/>
        </w:rPr>
      </w:pPr>
      <w:r w:rsidRPr="008A7853">
        <w:rPr>
          <w:rFonts w:ascii="Century Schoolbook" w:hAnsi="Century Schoolbook"/>
          <w:sz w:val="22"/>
          <w:szCs w:val="22"/>
          <w:lang w:val="en-GB"/>
        </w:rPr>
        <w:t xml:space="preserve">Ku WW, Bigger A, </w:t>
      </w:r>
      <w:proofErr w:type="spellStart"/>
      <w:r w:rsidRPr="008A7853">
        <w:rPr>
          <w:rFonts w:ascii="Century Schoolbook" w:hAnsi="Century Schoolbook"/>
          <w:sz w:val="22"/>
          <w:szCs w:val="22"/>
          <w:lang w:val="en-GB"/>
        </w:rPr>
        <w:t>Brambilla</w:t>
      </w:r>
      <w:proofErr w:type="spellEnd"/>
      <w:r w:rsidRPr="008A7853">
        <w:rPr>
          <w:rFonts w:ascii="Century Schoolbook" w:hAnsi="Century Schoolbook"/>
          <w:sz w:val="22"/>
          <w:szCs w:val="22"/>
          <w:lang w:val="en-GB"/>
        </w:rPr>
        <w:t xml:space="preserve"> G, </w:t>
      </w:r>
      <w:proofErr w:type="spellStart"/>
      <w:r w:rsidRPr="008A7853">
        <w:rPr>
          <w:rFonts w:ascii="Century Schoolbook" w:hAnsi="Century Schoolbook"/>
          <w:sz w:val="22"/>
          <w:szCs w:val="22"/>
          <w:lang w:val="en-GB"/>
        </w:rPr>
        <w:t>Glatt</w:t>
      </w:r>
      <w:proofErr w:type="spellEnd"/>
      <w:r w:rsidRPr="008A7853">
        <w:rPr>
          <w:rFonts w:ascii="Century Schoolbook" w:hAnsi="Century Schoolbook"/>
          <w:sz w:val="22"/>
          <w:szCs w:val="22"/>
          <w:lang w:val="en-GB"/>
        </w:rPr>
        <w:t xml:space="preserve"> H, </w:t>
      </w:r>
      <w:proofErr w:type="spellStart"/>
      <w:r w:rsidRPr="008A7853">
        <w:rPr>
          <w:rFonts w:ascii="Century Schoolbook" w:hAnsi="Century Schoolbook"/>
          <w:sz w:val="22"/>
          <w:szCs w:val="22"/>
          <w:lang w:val="en-GB"/>
        </w:rPr>
        <w:t>Gocke</w:t>
      </w:r>
      <w:proofErr w:type="spellEnd"/>
      <w:r w:rsidRPr="008A7853">
        <w:rPr>
          <w:rFonts w:ascii="Century Schoolbook" w:hAnsi="Century Schoolbook"/>
          <w:sz w:val="22"/>
          <w:szCs w:val="22"/>
          <w:lang w:val="en-GB"/>
        </w:rPr>
        <w:t xml:space="preserve"> E, </w:t>
      </w:r>
      <w:proofErr w:type="spellStart"/>
      <w:r w:rsidRPr="008A7853">
        <w:rPr>
          <w:rFonts w:ascii="Century Schoolbook" w:hAnsi="Century Schoolbook"/>
          <w:sz w:val="22"/>
          <w:szCs w:val="22"/>
          <w:lang w:val="en-GB"/>
        </w:rPr>
        <w:t>Guzzie</w:t>
      </w:r>
      <w:proofErr w:type="spellEnd"/>
      <w:r w:rsidRPr="008A7853">
        <w:rPr>
          <w:rFonts w:ascii="Century Schoolbook" w:hAnsi="Century Schoolbook"/>
          <w:sz w:val="22"/>
          <w:szCs w:val="22"/>
          <w:lang w:val="en-GB"/>
        </w:rPr>
        <w:t xml:space="preserve"> PJ et al. Strategy for </w:t>
      </w:r>
      <w:proofErr w:type="spellStart"/>
      <w:r w:rsidRPr="008A7853">
        <w:rPr>
          <w:rFonts w:ascii="Century Schoolbook" w:hAnsi="Century Schoolbook"/>
          <w:sz w:val="22"/>
          <w:szCs w:val="22"/>
          <w:lang w:val="en-GB"/>
        </w:rPr>
        <w:t>genotoxicity</w:t>
      </w:r>
      <w:proofErr w:type="spellEnd"/>
      <w:r w:rsidRPr="008A7853">
        <w:rPr>
          <w:rFonts w:ascii="Century Schoolbook" w:hAnsi="Century Schoolbook"/>
          <w:sz w:val="22"/>
          <w:szCs w:val="22"/>
          <w:lang w:val="en-GB"/>
        </w:rPr>
        <w:t xml:space="preserve"> testing-</w:t>
      </w:r>
      <w:r>
        <w:rPr>
          <w:rFonts w:ascii="Century Schoolbook" w:hAnsi="Century Schoolbook"/>
          <w:sz w:val="22"/>
          <w:szCs w:val="22"/>
          <w:lang w:val="en-GB"/>
        </w:rPr>
        <w:t>m</w:t>
      </w:r>
      <w:r w:rsidRPr="008A7853">
        <w:rPr>
          <w:rFonts w:ascii="Century Schoolbook" w:hAnsi="Century Schoolbook"/>
          <w:sz w:val="22"/>
          <w:szCs w:val="22"/>
          <w:lang w:val="en-GB"/>
        </w:rPr>
        <w:t>etabolic considerations.</w:t>
      </w:r>
      <w:r w:rsidRPr="008A7853">
        <w:rPr>
          <w:rFonts w:ascii="Century Schoolbook" w:hAnsi="Century Schoolbook"/>
          <w:i/>
          <w:iCs/>
          <w:sz w:val="22"/>
          <w:szCs w:val="22"/>
          <w:lang w:val="en-GB"/>
        </w:rPr>
        <w:t xml:space="preserve"> </w:t>
      </w:r>
      <w:proofErr w:type="spellStart"/>
      <w:r w:rsidRPr="008A7853">
        <w:rPr>
          <w:rFonts w:ascii="Century Schoolbook" w:hAnsi="Century Schoolbook"/>
          <w:iCs/>
          <w:sz w:val="22"/>
          <w:szCs w:val="22"/>
          <w:lang w:val="en-GB"/>
        </w:rPr>
        <w:t>Mutat</w:t>
      </w:r>
      <w:proofErr w:type="spellEnd"/>
      <w:r w:rsidRPr="008A7853">
        <w:rPr>
          <w:rFonts w:ascii="Century Schoolbook" w:hAnsi="Century Schoolbook"/>
          <w:iCs/>
          <w:sz w:val="22"/>
          <w:szCs w:val="22"/>
          <w:lang w:val="en-GB"/>
        </w:rPr>
        <w:t xml:space="preserve"> </w:t>
      </w:r>
      <w:proofErr w:type="spellStart"/>
      <w:r w:rsidRPr="008A7853">
        <w:rPr>
          <w:rFonts w:ascii="Century Schoolbook" w:hAnsi="Century Schoolbook"/>
          <w:iCs/>
          <w:sz w:val="22"/>
          <w:szCs w:val="22"/>
          <w:lang w:val="en-GB"/>
        </w:rPr>
        <w:t>Res</w:t>
      </w:r>
      <w:proofErr w:type="spellEnd"/>
      <w:r w:rsidRPr="008A7853">
        <w:rPr>
          <w:rFonts w:ascii="Century Schoolbook" w:hAnsi="Century Schoolbook"/>
          <w:iCs/>
          <w:sz w:val="22"/>
          <w:szCs w:val="22"/>
          <w:lang w:val="en-GB"/>
        </w:rPr>
        <w:t xml:space="preserve"> </w:t>
      </w:r>
      <w:r w:rsidRPr="008A7853">
        <w:rPr>
          <w:rFonts w:ascii="Century Schoolbook" w:hAnsi="Century Schoolbook"/>
          <w:sz w:val="22"/>
          <w:szCs w:val="22"/>
          <w:lang w:val="en-GB"/>
        </w:rPr>
        <w:t>2007</w:t>
      </w:r>
      <w:proofErr w:type="gramStart"/>
      <w:r w:rsidRPr="008A7853">
        <w:rPr>
          <w:rFonts w:ascii="Century Schoolbook" w:hAnsi="Century Schoolbook"/>
          <w:sz w:val="22"/>
          <w:szCs w:val="22"/>
          <w:lang w:val="en-GB"/>
        </w:rPr>
        <w:t>;627:59</w:t>
      </w:r>
      <w:proofErr w:type="gramEnd"/>
      <w:r w:rsidRPr="008A7853">
        <w:rPr>
          <w:rFonts w:ascii="Century Schoolbook" w:hAnsi="Century Schoolbook"/>
          <w:sz w:val="22"/>
          <w:szCs w:val="22"/>
          <w:lang w:val="en-GB"/>
        </w:rPr>
        <w:t>-77.</w:t>
      </w:r>
    </w:p>
    <w:p w:rsidR="001D26BE" w:rsidRPr="00C9399A" w:rsidRDefault="001D26BE" w:rsidP="005F7F4A">
      <w:pPr>
        <w:widowControl/>
        <w:rPr>
          <w:rFonts w:ascii="Century Schoolbook" w:hAnsi="Century Schoolbook"/>
          <w:sz w:val="22"/>
          <w:szCs w:val="22"/>
        </w:rPr>
      </w:pPr>
    </w:p>
    <w:p w:rsidR="0097372C" w:rsidRPr="0097372C" w:rsidRDefault="0097372C" w:rsidP="0097372C">
      <w:pPr>
        <w:widowControl/>
        <w:rPr>
          <w:rFonts w:ascii="Century Schoolbook" w:hAnsi="Century Schoolbook"/>
          <w:sz w:val="22"/>
          <w:szCs w:val="22"/>
          <w:lang w:val="en-GB"/>
        </w:rPr>
      </w:pPr>
      <w:proofErr w:type="spellStart"/>
      <w:r w:rsidRPr="0097372C">
        <w:rPr>
          <w:rFonts w:ascii="Century Schoolbook" w:hAnsi="Century Schoolbook"/>
          <w:sz w:val="22"/>
          <w:szCs w:val="22"/>
          <w:lang w:val="en-GB"/>
        </w:rPr>
        <w:t>MacGregor</w:t>
      </w:r>
      <w:proofErr w:type="spellEnd"/>
      <w:r w:rsidRPr="0097372C">
        <w:rPr>
          <w:rFonts w:ascii="Century Schoolbook" w:hAnsi="Century Schoolbook"/>
          <w:sz w:val="22"/>
          <w:szCs w:val="22"/>
          <w:lang w:val="en-GB"/>
        </w:rPr>
        <w:t xml:space="preserve"> JT, Bishop ME, </w:t>
      </w:r>
      <w:proofErr w:type="spellStart"/>
      <w:r w:rsidRPr="0097372C">
        <w:rPr>
          <w:rFonts w:ascii="Century Schoolbook" w:hAnsi="Century Schoolbook"/>
          <w:sz w:val="22"/>
          <w:szCs w:val="22"/>
          <w:lang w:val="en-GB"/>
        </w:rPr>
        <w:t>McNamee</w:t>
      </w:r>
      <w:proofErr w:type="spellEnd"/>
      <w:r w:rsidRPr="0097372C">
        <w:rPr>
          <w:rFonts w:ascii="Century Schoolbook" w:hAnsi="Century Schoolbook"/>
          <w:sz w:val="22"/>
          <w:szCs w:val="22"/>
          <w:lang w:val="en-GB"/>
        </w:rPr>
        <w:t xml:space="preserve"> JP, Hayashi M, Asano N, </w:t>
      </w:r>
      <w:proofErr w:type="spellStart"/>
      <w:r w:rsidRPr="0097372C">
        <w:rPr>
          <w:rFonts w:ascii="Century Schoolbook" w:hAnsi="Century Schoolbook"/>
          <w:sz w:val="22"/>
          <w:szCs w:val="22"/>
          <w:lang w:val="en-GB"/>
        </w:rPr>
        <w:t>Wakata</w:t>
      </w:r>
      <w:proofErr w:type="spellEnd"/>
      <w:r w:rsidRPr="0097372C">
        <w:rPr>
          <w:rFonts w:ascii="Century Schoolbook" w:hAnsi="Century Schoolbook"/>
          <w:sz w:val="22"/>
          <w:szCs w:val="22"/>
          <w:lang w:val="en-GB"/>
        </w:rPr>
        <w:t xml:space="preserve"> A et al. Flow </w:t>
      </w:r>
      <w:proofErr w:type="spellStart"/>
      <w:r w:rsidRPr="0097372C">
        <w:rPr>
          <w:rFonts w:ascii="Century Schoolbook" w:hAnsi="Century Schoolbook"/>
          <w:sz w:val="22"/>
          <w:szCs w:val="22"/>
          <w:lang w:val="en-GB"/>
        </w:rPr>
        <w:t>Cytometric</w:t>
      </w:r>
      <w:proofErr w:type="spellEnd"/>
      <w:r w:rsidRPr="0097372C">
        <w:rPr>
          <w:rFonts w:ascii="Century Schoolbook" w:hAnsi="Century Schoolbook"/>
          <w:sz w:val="22"/>
          <w:szCs w:val="22"/>
          <w:lang w:val="en-GB"/>
        </w:rPr>
        <w:t xml:space="preserve"> analysis of micronuclei in peripheral blood </w:t>
      </w:r>
      <w:proofErr w:type="spellStart"/>
      <w:r w:rsidRPr="0097372C">
        <w:rPr>
          <w:rFonts w:ascii="Century Schoolbook" w:hAnsi="Century Schoolbook"/>
          <w:sz w:val="22"/>
          <w:szCs w:val="22"/>
          <w:lang w:val="en-GB"/>
        </w:rPr>
        <w:t>reticulocytes</w:t>
      </w:r>
      <w:proofErr w:type="spellEnd"/>
      <w:r w:rsidRPr="0097372C">
        <w:rPr>
          <w:rFonts w:ascii="Century Schoolbook" w:hAnsi="Century Schoolbook"/>
          <w:sz w:val="22"/>
          <w:szCs w:val="22"/>
          <w:lang w:val="en-GB"/>
        </w:rPr>
        <w:t xml:space="preserve">: II. </w:t>
      </w:r>
      <w:proofErr w:type="gramStart"/>
      <w:r w:rsidRPr="0097372C">
        <w:rPr>
          <w:rFonts w:ascii="Century Schoolbook" w:hAnsi="Century Schoolbook"/>
          <w:sz w:val="22"/>
          <w:szCs w:val="22"/>
          <w:lang w:val="en-GB"/>
        </w:rPr>
        <w:t>An efficient method of monitoring chromosomal damage in the rat.</w:t>
      </w:r>
      <w:proofErr w:type="gramEnd"/>
      <w:r w:rsidRPr="0097372C">
        <w:rPr>
          <w:rFonts w:ascii="Century Schoolbook" w:hAnsi="Century Schoolbook"/>
          <w:sz w:val="22"/>
          <w:szCs w:val="22"/>
          <w:lang w:val="en-GB"/>
        </w:rPr>
        <w:t xml:space="preserve"> </w:t>
      </w:r>
      <w:proofErr w:type="spellStart"/>
      <w:r w:rsidRPr="0097372C">
        <w:rPr>
          <w:rFonts w:ascii="Century Schoolbook" w:hAnsi="Century Schoolbook"/>
          <w:sz w:val="22"/>
          <w:szCs w:val="22"/>
          <w:lang w:val="en-GB"/>
        </w:rPr>
        <w:t>Toxicol</w:t>
      </w:r>
      <w:proofErr w:type="spellEnd"/>
      <w:r w:rsidRPr="0097372C">
        <w:rPr>
          <w:rFonts w:ascii="Century Schoolbook" w:hAnsi="Century Schoolbook"/>
          <w:sz w:val="22"/>
          <w:szCs w:val="22"/>
          <w:lang w:val="en-GB"/>
        </w:rPr>
        <w:t xml:space="preserve"> </w:t>
      </w:r>
      <w:proofErr w:type="spellStart"/>
      <w:r w:rsidRPr="0097372C">
        <w:rPr>
          <w:rFonts w:ascii="Century Schoolbook" w:hAnsi="Century Schoolbook"/>
          <w:sz w:val="22"/>
          <w:szCs w:val="22"/>
          <w:lang w:val="en-GB"/>
        </w:rPr>
        <w:t>Sci</w:t>
      </w:r>
      <w:proofErr w:type="spellEnd"/>
      <w:r w:rsidRPr="0097372C">
        <w:rPr>
          <w:rFonts w:ascii="Century Schoolbook" w:hAnsi="Century Schoolbook"/>
          <w:sz w:val="22"/>
          <w:szCs w:val="22"/>
          <w:lang w:val="en-GB"/>
        </w:rPr>
        <w:t xml:space="preserve"> 2006</w:t>
      </w:r>
      <w:proofErr w:type="gramStart"/>
      <w:r w:rsidRPr="0097372C">
        <w:rPr>
          <w:rFonts w:ascii="Century Schoolbook" w:hAnsi="Century Schoolbook"/>
          <w:sz w:val="22"/>
          <w:szCs w:val="22"/>
          <w:lang w:val="en-GB"/>
        </w:rPr>
        <w:t>;94:92</w:t>
      </w:r>
      <w:proofErr w:type="gramEnd"/>
      <w:r w:rsidRPr="0097372C">
        <w:rPr>
          <w:rFonts w:ascii="Century Schoolbook" w:hAnsi="Century Schoolbook"/>
          <w:sz w:val="22"/>
          <w:szCs w:val="22"/>
          <w:lang w:val="en-GB"/>
        </w:rPr>
        <w:t>-107.</w:t>
      </w:r>
    </w:p>
    <w:p w:rsidR="001D26BE" w:rsidRPr="00C9399A" w:rsidRDefault="001D26BE" w:rsidP="005F7F4A">
      <w:pPr>
        <w:widowControl/>
        <w:rPr>
          <w:rFonts w:ascii="Century Schoolbook" w:hAnsi="Century Schoolbook"/>
          <w:sz w:val="22"/>
          <w:szCs w:val="22"/>
        </w:rPr>
      </w:pPr>
    </w:p>
    <w:p w:rsidR="001D26BE" w:rsidRPr="00C9399A" w:rsidRDefault="00B24C2C" w:rsidP="005F7F4A">
      <w:pPr>
        <w:adjustRightInd w:val="0"/>
        <w:rPr>
          <w:rFonts w:ascii="Century Schoolbook" w:hAnsi="Century Schoolbook"/>
          <w:color w:val="auto"/>
          <w:kern w:val="0"/>
          <w:sz w:val="22"/>
          <w:szCs w:val="22"/>
        </w:rPr>
      </w:pPr>
      <w:r w:rsidRPr="005A0A1F">
        <w:rPr>
          <w:rFonts w:ascii="Century Schoolbook" w:hAnsi="Century Schoolbook"/>
          <w:sz w:val="22"/>
          <w:szCs w:val="22"/>
          <w:lang w:val="en-GB"/>
        </w:rPr>
        <w:t xml:space="preserve">Moore MM, </w:t>
      </w:r>
      <w:proofErr w:type="spellStart"/>
      <w:r w:rsidRPr="005A0A1F">
        <w:rPr>
          <w:rFonts w:ascii="Century Schoolbook" w:hAnsi="Century Schoolbook"/>
          <w:sz w:val="22"/>
          <w:szCs w:val="22"/>
          <w:lang w:val="en-GB"/>
        </w:rPr>
        <w:t>Honma</w:t>
      </w:r>
      <w:proofErr w:type="spellEnd"/>
      <w:r w:rsidRPr="005A0A1F">
        <w:rPr>
          <w:rFonts w:ascii="Century Schoolbook" w:hAnsi="Century Schoolbook"/>
          <w:sz w:val="22"/>
          <w:szCs w:val="22"/>
          <w:lang w:val="en-GB"/>
        </w:rPr>
        <w:t xml:space="preserve"> M, Clements J, </w:t>
      </w:r>
      <w:r w:rsidR="001D26BE" w:rsidRPr="00C9399A">
        <w:rPr>
          <w:rFonts w:ascii="Century Schoolbook" w:eastAsia="MS PGothic" w:hAnsi="Century Schoolbook" w:cs="MS PGothic"/>
          <w:color w:val="auto"/>
          <w:kern w:val="0"/>
          <w:sz w:val="22"/>
          <w:szCs w:val="22"/>
        </w:rPr>
        <w:t>Harrington-Brock</w:t>
      </w:r>
      <w:r>
        <w:rPr>
          <w:rFonts w:ascii="Century Schoolbook" w:eastAsia="MS PGothic" w:hAnsi="Century Schoolbook" w:cs="MS PGothic"/>
          <w:color w:val="auto"/>
          <w:kern w:val="0"/>
          <w:sz w:val="22"/>
          <w:szCs w:val="22"/>
        </w:rPr>
        <w:t xml:space="preserve"> K</w:t>
      </w:r>
      <w:r w:rsidR="001D26BE" w:rsidRPr="00C9399A">
        <w:rPr>
          <w:rFonts w:ascii="Century Schoolbook" w:eastAsia="MS PGothic" w:hAnsi="Century Schoolbook" w:cs="MS PGothic"/>
          <w:color w:val="auto"/>
          <w:kern w:val="0"/>
          <w:sz w:val="22"/>
          <w:szCs w:val="22"/>
        </w:rPr>
        <w:t xml:space="preserve">, </w:t>
      </w:r>
      <w:proofErr w:type="spellStart"/>
      <w:r w:rsidR="001D26BE" w:rsidRPr="00C9399A">
        <w:rPr>
          <w:rFonts w:ascii="Century Schoolbook" w:eastAsia="MS PGothic" w:hAnsi="Century Schoolbook" w:cs="MS PGothic"/>
          <w:color w:val="auto"/>
          <w:kern w:val="0"/>
          <w:sz w:val="22"/>
          <w:szCs w:val="22"/>
        </w:rPr>
        <w:t>Awogi</w:t>
      </w:r>
      <w:proofErr w:type="spellEnd"/>
      <w:r>
        <w:rPr>
          <w:rFonts w:ascii="Century Schoolbook" w:eastAsia="MS PGothic" w:hAnsi="Century Schoolbook" w:cs="MS PGothic"/>
          <w:color w:val="auto"/>
          <w:kern w:val="0"/>
          <w:sz w:val="22"/>
          <w:szCs w:val="22"/>
        </w:rPr>
        <w:t xml:space="preserve"> T</w:t>
      </w:r>
      <w:r w:rsidR="001D26BE" w:rsidRPr="00C9399A">
        <w:rPr>
          <w:rFonts w:ascii="Century Schoolbook" w:eastAsia="MS PGothic" w:hAnsi="Century Schoolbook" w:cs="MS PGothic"/>
          <w:color w:val="auto"/>
          <w:kern w:val="0"/>
          <w:sz w:val="22"/>
          <w:szCs w:val="22"/>
        </w:rPr>
        <w:t>,</w:t>
      </w:r>
      <w:r>
        <w:rPr>
          <w:rFonts w:ascii="Century Schoolbook" w:eastAsia="MS PGothic" w:hAnsi="Century Schoolbook" w:cs="MS PGothic"/>
          <w:color w:val="auto"/>
          <w:kern w:val="0"/>
          <w:sz w:val="22"/>
          <w:szCs w:val="22"/>
        </w:rPr>
        <w:t xml:space="preserve"> </w:t>
      </w:r>
      <w:proofErr w:type="spellStart"/>
      <w:r w:rsidR="001D26BE" w:rsidRPr="00C9399A">
        <w:rPr>
          <w:rFonts w:ascii="Century Schoolbook" w:eastAsia="MS PGothic" w:hAnsi="Century Schoolbook" w:cs="MS PGothic"/>
          <w:color w:val="auto"/>
          <w:kern w:val="0"/>
          <w:sz w:val="22"/>
          <w:szCs w:val="22"/>
        </w:rPr>
        <w:t>Bolcsfoldi</w:t>
      </w:r>
      <w:proofErr w:type="spellEnd"/>
      <w:r>
        <w:rPr>
          <w:rFonts w:ascii="Century Schoolbook" w:eastAsia="MS PGothic" w:hAnsi="Century Schoolbook" w:cs="MS PGothic"/>
          <w:color w:val="auto"/>
          <w:kern w:val="0"/>
          <w:sz w:val="22"/>
          <w:szCs w:val="22"/>
        </w:rPr>
        <w:t xml:space="preserve"> G</w:t>
      </w:r>
      <w:r w:rsidR="00E32C8A" w:rsidRPr="00E32C8A">
        <w:rPr>
          <w:rFonts w:ascii="Century Schoolbook" w:hAnsi="Century Schoolbook"/>
          <w:sz w:val="22"/>
          <w:szCs w:val="22"/>
          <w:lang w:val="en-GB"/>
        </w:rPr>
        <w:t xml:space="preserve"> </w:t>
      </w:r>
      <w:r w:rsidR="00E32C8A" w:rsidRPr="005A0A1F">
        <w:rPr>
          <w:rFonts w:ascii="Century Schoolbook" w:hAnsi="Century Schoolbook"/>
          <w:sz w:val="22"/>
          <w:szCs w:val="22"/>
          <w:lang w:val="en-GB"/>
        </w:rPr>
        <w:t xml:space="preserve">et al. </w:t>
      </w:r>
      <w:r w:rsidR="001D26BE" w:rsidRPr="00C9399A">
        <w:rPr>
          <w:rFonts w:ascii="Century Schoolbook" w:eastAsia="Times New Roman" w:hAnsi="Century Schoolbook"/>
          <w:color w:val="auto"/>
          <w:kern w:val="0"/>
          <w:sz w:val="22"/>
          <w:szCs w:val="22"/>
          <w:lang w:eastAsia="en-US"/>
        </w:rPr>
        <w:t xml:space="preserve">Mouse </w:t>
      </w:r>
      <w:r w:rsidR="00E32C8A" w:rsidRPr="00C9399A">
        <w:rPr>
          <w:rFonts w:ascii="Century Schoolbook" w:eastAsia="Times New Roman" w:hAnsi="Century Schoolbook"/>
          <w:color w:val="auto"/>
          <w:kern w:val="0"/>
          <w:sz w:val="22"/>
          <w:szCs w:val="22"/>
          <w:lang w:eastAsia="en-US"/>
        </w:rPr>
        <w:t xml:space="preserve">lymphoma </w:t>
      </w:r>
      <w:proofErr w:type="spellStart"/>
      <w:r w:rsidR="00E32C8A" w:rsidRPr="00C9399A">
        <w:rPr>
          <w:rFonts w:ascii="Century Schoolbook" w:eastAsia="Times New Roman" w:hAnsi="Century Schoolbook"/>
          <w:color w:val="auto"/>
          <w:kern w:val="0"/>
          <w:sz w:val="22"/>
          <w:szCs w:val="22"/>
          <w:lang w:eastAsia="en-US"/>
        </w:rPr>
        <w:t>thymidine</w:t>
      </w:r>
      <w:proofErr w:type="spellEnd"/>
      <w:r w:rsidR="00E32C8A" w:rsidRPr="00C9399A">
        <w:rPr>
          <w:rFonts w:ascii="Century Schoolbook" w:eastAsia="Times New Roman" w:hAnsi="Century Schoolbook"/>
          <w:color w:val="auto"/>
          <w:kern w:val="0"/>
          <w:sz w:val="22"/>
          <w:szCs w:val="22"/>
          <w:lang w:eastAsia="en-US"/>
        </w:rPr>
        <w:t xml:space="preserve"> </w:t>
      </w:r>
      <w:proofErr w:type="spellStart"/>
      <w:r w:rsidR="00E32C8A" w:rsidRPr="00C9399A">
        <w:rPr>
          <w:rFonts w:ascii="Century Schoolbook" w:eastAsia="Times New Roman" w:hAnsi="Century Schoolbook"/>
          <w:color w:val="auto"/>
          <w:kern w:val="0"/>
          <w:sz w:val="22"/>
          <w:szCs w:val="22"/>
          <w:lang w:eastAsia="en-US"/>
        </w:rPr>
        <w:t>kinase</w:t>
      </w:r>
      <w:proofErr w:type="spellEnd"/>
      <w:r w:rsidR="00E32C8A" w:rsidRPr="00C9399A">
        <w:rPr>
          <w:rFonts w:ascii="Century Schoolbook" w:eastAsia="Times New Roman" w:hAnsi="Century Schoolbook"/>
          <w:color w:val="auto"/>
          <w:kern w:val="0"/>
          <w:sz w:val="22"/>
          <w:szCs w:val="22"/>
          <w:lang w:eastAsia="en-US"/>
        </w:rPr>
        <w:t xml:space="preserve"> locus gene mutation assay: follow-up international workshop o</w:t>
      </w:r>
      <w:r w:rsidR="00E32C8A">
        <w:rPr>
          <w:rFonts w:ascii="Century Schoolbook" w:eastAsia="Times New Roman" w:hAnsi="Century Schoolbook"/>
          <w:color w:val="auto"/>
          <w:kern w:val="0"/>
          <w:sz w:val="22"/>
          <w:szCs w:val="22"/>
          <w:lang w:eastAsia="en-US"/>
        </w:rPr>
        <w:t xml:space="preserve">n </w:t>
      </w:r>
      <w:proofErr w:type="spellStart"/>
      <w:r w:rsidR="00E32C8A">
        <w:rPr>
          <w:rFonts w:ascii="Century Schoolbook" w:eastAsia="Times New Roman" w:hAnsi="Century Schoolbook"/>
          <w:color w:val="auto"/>
          <w:kern w:val="0"/>
          <w:sz w:val="22"/>
          <w:szCs w:val="22"/>
          <w:lang w:eastAsia="en-US"/>
        </w:rPr>
        <w:t>genotoxicity</w:t>
      </w:r>
      <w:proofErr w:type="spellEnd"/>
      <w:r w:rsidR="00E32C8A">
        <w:rPr>
          <w:rFonts w:ascii="Century Schoolbook" w:eastAsia="Times New Roman" w:hAnsi="Century Schoolbook"/>
          <w:color w:val="auto"/>
          <w:kern w:val="0"/>
          <w:sz w:val="22"/>
          <w:szCs w:val="22"/>
          <w:lang w:eastAsia="en-US"/>
        </w:rPr>
        <w:t xml:space="preserve"> test procedures</w:t>
      </w:r>
      <w:r w:rsidR="00E32C8A" w:rsidRPr="005A0A1F">
        <w:rPr>
          <w:rFonts w:ascii="Century Schoolbook" w:hAnsi="Century Schoolbook"/>
          <w:sz w:val="22"/>
          <w:szCs w:val="22"/>
          <w:lang w:val="en-GB"/>
        </w:rPr>
        <w:t>–</w:t>
      </w:r>
      <w:r w:rsidR="001D26BE" w:rsidRPr="00C9399A">
        <w:rPr>
          <w:rFonts w:ascii="Century Schoolbook" w:eastAsia="Times New Roman" w:hAnsi="Century Schoolbook"/>
          <w:color w:val="auto"/>
          <w:kern w:val="0"/>
          <w:sz w:val="22"/>
          <w:szCs w:val="22"/>
          <w:lang w:eastAsia="en-US"/>
        </w:rPr>
        <w:t>New Orleans, Louisiana, April 2000</w:t>
      </w:r>
      <w:r w:rsidR="00E32C8A">
        <w:rPr>
          <w:rFonts w:ascii="Century Schoolbook" w:hAnsi="Century Schoolbook"/>
          <w:color w:val="auto"/>
          <w:kern w:val="0"/>
          <w:sz w:val="22"/>
          <w:szCs w:val="22"/>
        </w:rPr>
        <w:t>.</w:t>
      </w:r>
      <w:r w:rsidR="001D26BE" w:rsidRPr="00C9399A">
        <w:rPr>
          <w:rFonts w:ascii="Century Schoolbook" w:eastAsia="Times New Roman" w:hAnsi="Century Schoolbook"/>
          <w:color w:val="auto"/>
          <w:kern w:val="0"/>
          <w:sz w:val="22"/>
          <w:szCs w:val="22"/>
          <w:lang w:eastAsia="en-US"/>
        </w:rPr>
        <w:t xml:space="preserve"> </w:t>
      </w:r>
      <w:r w:rsidR="00E32C8A" w:rsidRPr="005A0A1F">
        <w:rPr>
          <w:rFonts w:ascii="Century Schoolbook" w:hAnsi="Century Schoolbook"/>
          <w:iCs/>
          <w:sz w:val="22"/>
          <w:szCs w:val="22"/>
          <w:lang w:val="en-GB"/>
        </w:rPr>
        <w:t xml:space="preserve">Environ Mol </w:t>
      </w:r>
      <w:proofErr w:type="spellStart"/>
      <w:r w:rsidR="00E32C8A" w:rsidRPr="005A0A1F">
        <w:rPr>
          <w:rFonts w:ascii="Century Schoolbook" w:hAnsi="Century Schoolbook"/>
          <w:iCs/>
          <w:sz w:val="22"/>
          <w:szCs w:val="22"/>
          <w:lang w:val="en-GB"/>
        </w:rPr>
        <w:t>Mutagen</w:t>
      </w:r>
      <w:proofErr w:type="spellEnd"/>
      <w:r w:rsidR="00E32C8A" w:rsidRPr="005A0A1F">
        <w:rPr>
          <w:rFonts w:ascii="Century Schoolbook" w:hAnsi="Century Schoolbook"/>
          <w:iCs/>
          <w:sz w:val="22"/>
          <w:szCs w:val="22"/>
          <w:lang w:val="en-GB"/>
        </w:rPr>
        <w:t xml:space="preserve"> </w:t>
      </w:r>
      <w:r w:rsidR="00E32C8A">
        <w:rPr>
          <w:rFonts w:ascii="Century Schoolbook" w:hAnsi="Century Schoolbook"/>
          <w:iCs/>
          <w:sz w:val="22"/>
          <w:szCs w:val="22"/>
          <w:lang w:val="en-GB"/>
        </w:rPr>
        <w:t>2002</w:t>
      </w:r>
      <w:proofErr w:type="gramStart"/>
      <w:r w:rsidR="00E32C8A">
        <w:rPr>
          <w:rFonts w:ascii="Century Schoolbook" w:hAnsi="Century Schoolbook"/>
          <w:iCs/>
          <w:sz w:val="22"/>
          <w:szCs w:val="22"/>
          <w:lang w:val="en-GB"/>
        </w:rPr>
        <w:t>;</w:t>
      </w:r>
      <w:r w:rsidR="001D26BE" w:rsidRPr="00C9399A">
        <w:rPr>
          <w:rFonts w:ascii="Century Schoolbook" w:eastAsia="Times New Roman" w:hAnsi="Century Schoolbook"/>
          <w:color w:val="auto"/>
          <w:kern w:val="0"/>
          <w:sz w:val="22"/>
          <w:szCs w:val="22"/>
          <w:lang w:eastAsia="en-US"/>
        </w:rPr>
        <w:t>4</w:t>
      </w:r>
      <w:r w:rsidR="001D26BE" w:rsidRPr="00C9399A">
        <w:rPr>
          <w:rFonts w:ascii="Century Schoolbook" w:hAnsi="Century Schoolbook"/>
          <w:color w:val="auto"/>
          <w:kern w:val="0"/>
          <w:sz w:val="22"/>
          <w:szCs w:val="22"/>
        </w:rPr>
        <w:t>0</w:t>
      </w:r>
      <w:r w:rsidR="00E32C8A">
        <w:rPr>
          <w:rFonts w:ascii="Century Schoolbook" w:hAnsi="Century Schoolbook"/>
          <w:color w:val="auto"/>
          <w:kern w:val="0"/>
          <w:sz w:val="22"/>
          <w:szCs w:val="22"/>
        </w:rPr>
        <w:t>:</w:t>
      </w:r>
      <w:r w:rsidR="001D26BE" w:rsidRPr="00C9399A">
        <w:rPr>
          <w:rFonts w:ascii="Century Schoolbook" w:eastAsia="Times New Roman" w:hAnsi="Century Schoolbook"/>
          <w:color w:val="auto"/>
          <w:kern w:val="0"/>
          <w:sz w:val="22"/>
          <w:szCs w:val="22"/>
          <w:lang w:eastAsia="en-US"/>
        </w:rPr>
        <w:t>292</w:t>
      </w:r>
      <w:proofErr w:type="gramEnd"/>
      <w:r w:rsidR="001D26BE" w:rsidRPr="00C9399A">
        <w:rPr>
          <w:rFonts w:ascii="Century Schoolbook" w:eastAsia="Times New Roman" w:hAnsi="Century Schoolbook"/>
          <w:color w:val="auto"/>
          <w:kern w:val="0"/>
          <w:sz w:val="22"/>
          <w:szCs w:val="22"/>
          <w:lang w:eastAsia="en-US"/>
        </w:rPr>
        <w:t>-9</w:t>
      </w:r>
      <w:r w:rsidR="001D26BE" w:rsidRPr="00C9399A">
        <w:rPr>
          <w:rFonts w:ascii="Century Schoolbook" w:hAnsi="Century Schoolbook"/>
          <w:color w:val="auto"/>
          <w:kern w:val="0"/>
          <w:sz w:val="22"/>
          <w:szCs w:val="22"/>
        </w:rPr>
        <w:t>.</w:t>
      </w:r>
    </w:p>
    <w:p w:rsidR="001D26BE" w:rsidRPr="00C9399A" w:rsidRDefault="001D26BE" w:rsidP="005F7F4A">
      <w:pPr>
        <w:adjustRightInd w:val="0"/>
        <w:rPr>
          <w:rFonts w:ascii="Century Schoolbook" w:hAnsi="Century Schoolbook" w:cs="MS PGothic"/>
          <w:color w:val="auto"/>
          <w:kern w:val="0"/>
          <w:sz w:val="22"/>
          <w:szCs w:val="22"/>
        </w:rPr>
      </w:pPr>
    </w:p>
    <w:p w:rsidR="005A0A1F" w:rsidRPr="005A0A1F" w:rsidRDefault="005A0A1F" w:rsidP="005A0A1F">
      <w:pPr>
        <w:autoSpaceDE w:val="0"/>
        <w:autoSpaceDN w:val="0"/>
        <w:adjustRightInd w:val="0"/>
        <w:textAlignment w:val="bottom"/>
        <w:rPr>
          <w:rFonts w:ascii="Century Schoolbook" w:hAnsi="Century Schoolbook"/>
          <w:sz w:val="22"/>
          <w:szCs w:val="22"/>
          <w:lang w:val="en-GB"/>
        </w:rPr>
      </w:pPr>
      <w:r w:rsidRPr="005A0A1F">
        <w:rPr>
          <w:rFonts w:ascii="Century Schoolbook" w:hAnsi="Century Schoolbook"/>
          <w:sz w:val="22"/>
          <w:szCs w:val="22"/>
          <w:lang w:val="en-GB"/>
        </w:rPr>
        <w:t xml:space="preserve">Moore MM, </w:t>
      </w:r>
      <w:proofErr w:type="spellStart"/>
      <w:r w:rsidRPr="005A0A1F">
        <w:rPr>
          <w:rFonts w:ascii="Century Schoolbook" w:hAnsi="Century Schoolbook"/>
          <w:sz w:val="22"/>
          <w:szCs w:val="22"/>
          <w:lang w:val="en-GB"/>
        </w:rPr>
        <w:t>Honma</w:t>
      </w:r>
      <w:proofErr w:type="spellEnd"/>
      <w:r w:rsidRPr="005A0A1F">
        <w:rPr>
          <w:rFonts w:ascii="Century Schoolbook" w:hAnsi="Century Schoolbook"/>
          <w:sz w:val="22"/>
          <w:szCs w:val="22"/>
          <w:lang w:val="en-GB"/>
        </w:rPr>
        <w:t xml:space="preserve"> M, Clements J, </w:t>
      </w:r>
      <w:proofErr w:type="spellStart"/>
      <w:r w:rsidRPr="005A0A1F">
        <w:rPr>
          <w:rFonts w:ascii="Century Schoolbook" w:hAnsi="Century Schoolbook"/>
          <w:sz w:val="22"/>
          <w:szCs w:val="22"/>
          <w:lang w:val="en-GB"/>
        </w:rPr>
        <w:t>Bolcsfoldi</w:t>
      </w:r>
      <w:proofErr w:type="spellEnd"/>
      <w:r w:rsidRPr="005A0A1F">
        <w:rPr>
          <w:rFonts w:ascii="Century Schoolbook" w:hAnsi="Century Schoolbook"/>
          <w:sz w:val="22"/>
          <w:szCs w:val="22"/>
          <w:lang w:val="en-GB"/>
        </w:rPr>
        <w:t xml:space="preserve"> G, </w:t>
      </w:r>
      <w:proofErr w:type="spellStart"/>
      <w:r w:rsidRPr="005A0A1F">
        <w:rPr>
          <w:rFonts w:ascii="Century Schoolbook" w:hAnsi="Century Schoolbook"/>
          <w:sz w:val="22"/>
          <w:szCs w:val="22"/>
          <w:lang w:val="en-GB"/>
        </w:rPr>
        <w:t>Burlinson</w:t>
      </w:r>
      <w:proofErr w:type="spellEnd"/>
      <w:r w:rsidRPr="005A0A1F">
        <w:rPr>
          <w:rFonts w:ascii="Century Schoolbook" w:hAnsi="Century Schoolbook"/>
          <w:sz w:val="22"/>
          <w:szCs w:val="22"/>
          <w:lang w:val="en-GB"/>
        </w:rPr>
        <w:t xml:space="preserve"> B, </w:t>
      </w:r>
      <w:proofErr w:type="spellStart"/>
      <w:r w:rsidRPr="005A0A1F">
        <w:rPr>
          <w:rFonts w:ascii="Century Schoolbook" w:hAnsi="Century Schoolbook"/>
          <w:sz w:val="22"/>
          <w:szCs w:val="22"/>
          <w:lang w:val="en-GB"/>
        </w:rPr>
        <w:t>Cifone</w:t>
      </w:r>
      <w:proofErr w:type="spellEnd"/>
      <w:r w:rsidRPr="005A0A1F">
        <w:rPr>
          <w:rFonts w:ascii="Century Schoolbook" w:hAnsi="Century Schoolbook"/>
          <w:sz w:val="22"/>
          <w:szCs w:val="22"/>
          <w:lang w:val="en-GB"/>
        </w:rPr>
        <w:t xml:space="preserve"> M et al. Mouse lymphoma </w:t>
      </w:r>
      <w:proofErr w:type="spellStart"/>
      <w:r w:rsidRPr="005A0A1F">
        <w:rPr>
          <w:rFonts w:ascii="Century Schoolbook" w:hAnsi="Century Schoolbook"/>
          <w:sz w:val="22"/>
          <w:szCs w:val="22"/>
          <w:lang w:val="en-GB"/>
        </w:rPr>
        <w:t>thymidine</w:t>
      </w:r>
      <w:proofErr w:type="spellEnd"/>
      <w:r w:rsidRPr="005A0A1F">
        <w:rPr>
          <w:rFonts w:ascii="Century Schoolbook" w:hAnsi="Century Schoolbook"/>
          <w:sz w:val="22"/>
          <w:szCs w:val="22"/>
          <w:lang w:val="en-GB"/>
        </w:rPr>
        <w:t xml:space="preserve"> </w:t>
      </w:r>
      <w:proofErr w:type="spellStart"/>
      <w:r w:rsidRPr="005A0A1F">
        <w:rPr>
          <w:rFonts w:ascii="Century Schoolbook" w:hAnsi="Century Schoolbook"/>
          <w:sz w:val="22"/>
          <w:szCs w:val="22"/>
          <w:lang w:val="en-GB"/>
        </w:rPr>
        <w:t>kinase</w:t>
      </w:r>
      <w:proofErr w:type="spellEnd"/>
      <w:r w:rsidRPr="005A0A1F">
        <w:rPr>
          <w:rFonts w:ascii="Century Schoolbook" w:hAnsi="Century Schoolbook"/>
          <w:sz w:val="22"/>
          <w:szCs w:val="22"/>
          <w:lang w:val="en-GB"/>
        </w:rPr>
        <w:t xml:space="preserve"> gene mutation assay</w:t>
      </w:r>
      <w:r>
        <w:rPr>
          <w:rFonts w:ascii="Century Schoolbook" w:hAnsi="Century Schoolbook"/>
          <w:sz w:val="22"/>
          <w:szCs w:val="22"/>
          <w:lang w:val="en-GB"/>
        </w:rPr>
        <w:t>: f</w:t>
      </w:r>
      <w:r w:rsidRPr="005A0A1F">
        <w:rPr>
          <w:rFonts w:ascii="Century Schoolbook" w:hAnsi="Century Schoolbook"/>
          <w:sz w:val="22"/>
          <w:szCs w:val="22"/>
          <w:lang w:val="en-GB"/>
        </w:rPr>
        <w:t xml:space="preserve">ollow-up meeting of the international workshop on </w:t>
      </w:r>
      <w:proofErr w:type="spellStart"/>
      <w:r w:rsidRPr="005A0A1F">
        <w:rPr>
          <w:rFonts w:ascii="Century Schoolbook" w:hAnsi="Century Schoolbook"/>
          <w:sz w:val="22"/>
          <w:szCs w:val="22"/>
          <w:lang w:val="en-GB"/>
        </w:rPr>
        <w:t>genotoxicity</w:t>
      </w:r>
      <w:proofErr w:type="spellEnd"/>
      <w:r w:rsidRPr="005A0A1F">
        <w:rPr>
          <w:rFonts w:ascii="Century Schoolbook" w:hAnsi="Century Schoolbook"/>
          <w:sz w:val="22"/>
          <w:szCs w:val="22"/>
          <w:lang w:val="en-GB"/>
        </w:rPr>
        <w:t xml:space="preserve"> testing–Aberdeen, Scotland, 2003–Assay acceptance criteria, positive controls, and data evaluation. </w:t>
      </w:r>
      <w:r w:rsidRPr="005A0A1F">
        <w:rPr>
          <w:rFonts w:ascii="Century Schoolbook" w:hAnsi="Century Schoolbook"/>
          <w:iCs/>
          <w:sz w:val="22"/>
          <w:szCs w:val="22"/>
          <w:lang w:val="en-GB"/>
        </w:rPr>
        <w:t xml:space="preserve">Environ Mol </w:t>
      </w:r>
      <w:proofErr w:type="spellStart"/>
      <w:r w:rsidRPr="005A0A1F">
        <w:rPr>
          <w:rFonts w:ascii="Century Schoolbook" w:hAnsi="Century Schoolbook"/>
          <w:iCs/>
          <w:sz w:val="22"/>
          <w:szCs w:val="22"/>
          <w:lang w:val="en-GB"/>
        </w:rPr>
        <w:t>Mutagen</w:t>
      </w:r>
      <w:proofErr w:type="spellEnd"/>
      <w:r w:rsidRPr="005A0A1F">
        <w:rPr>
          <w:rFonts w:ascii="Century Schoolbook" w:hAnsi="Century Schoolbook"/>
          <w:iCs/>
          <w:sz w:val="22"/>
          <w:szCs w:val="22"/>
          <w:lang w:val="en-GB"/>
        </w:rPr>
        <w:t xml:space="preserve"> </w:t>
      </w:r>
      <w:r w:rsidRPr="005A0A1F">
        <w:rPr>
          <w:rFonts w:ascii="Century Schoolbook" w:hAnsi="Century Schoolbook"/>
          <w:sz w:val="22"/>
          <w:szCs w:val="22"/>
          <w:lang w:val="en-GB"/>
        </w:rPr>
        <w:t>2006</w:t>
      </w:r>
      <w:proofErr w:type="gramStart"/>
      <w:r w:rsidRPr="005A0A1F">
        <w:rPr>
          <w:rFonts w:ascii="Century Schoolbook" w:hAnsi="Century Schoolbook"/>
          <w:sz w:val="22"/>
          <w:szCs w:val="22"/>
          <w:lang w:val="en-GB"/>
        </w:rPr>
        <w:t>;47:1</w:t>
      </w:r>
      <w:proofErr w:type="gramEnd"/>
      <w:r w:rsidRPr="005A0A1F">
        <w:rPr>
          <w:rFonts w:ascii="Century Schoolbook" w:hAnsi="Century Schoolbook"/>
          <w:sz w:val="22"/>
          <w:szCs w:val="22"/>
          <w:lang w:val="en-GB"/>
        </w:rPr>
        <w:t>-5.</w:t>
      </w:r>
    </w:p>
    <w:p w:rsidR="001D26BE" w:rsidRPr="00C9399A" w:rsidRDefault="001D26BE" w:rsidP="005F7F4A">
      <w:pPr>
        <w:autoSpaceDE w:val="0"/>
        <w:autoSpaceDN w:val="0"/>
        <w:adjustRightInd w:val="0"/>
        <w:textAlignment w:val="bottom"/>
        <w:rPr>
          <w:rFonts w:ascii="Century Schoolbook" w:hAnsi="Century Schoolbook"/>
          <w:kern w:val="0"/>
          <w:sz w:val="22"/>
          <w:szCs w:val="22"/>
        </w:rPr>
      </w:pPr>
    </w:p>
    <w:p w:rsidR="0061352F" w:rsidRPr="0061352F" w:rsidRDefault="0061352F" w:rsidP="0061352F">
      <w:pPr>
        <w:autoSpaceDE w:val="0"/>
        <w:autoSpaceDN w:val="0"/>
        <w:adjustRightInd w:val="0"/>
        <w:textAlignment w:val="bottom"/>
        <w:rPr>
          <w:rFonts w:ascii="Century Schoolbook" w:hAnsi="Century Schoolbook"/>
          <w:sz w:val="22"/>
          <w:szCs w:val="22"/>
          <w:lang w:val="en-GB"/>
        </w:rPr>
      </w:pPr>
      <w:proofErr w:type="spellStart"/>
      <w:r w:rsidRPr="0061352F">
        <w:rPr>
          <w:rFonts w:ascii="Century Schoolbook" w:hAnsi="Century Schoolbook"/>
          <w:sz w:val="22"/>
          <w:szCs w:val="22"/>
          <w:lang w:val="en-GB"/>
        </w:rPr>
        <w:t>Müller</w:t>
      </w:r>
      <w:proofErr w:type="spellEnd"/>
      <w:r w:rsidRPr="0061352F">
        <w:rPr>
          <w:rFonts w:ascii="Century Schoolbook" w:hAnsi="Century Schoolbook"/>
          <w:sz w:val="22"/>
          <w:szCs w:val="22"/>
          <w:lang w:val="en-GB"/>
        </w:rPr>
        <w:t xml:space="preserve"> L, Kasper P. Human biological relevance and the use of threshold arguments in regulatory </w:t>
      </w:r>
      <w:proofErr w:type="spellStart"/>
      <w:r w:rsidRPr="0061352F">
        <w:rPr>
          <w:rFonts w:ascii="Century Schoolbook" w:hAnsi="Century Schoolbook"/>
          <w:sz w:val="22"/>
          <w:szCs w:val="22"/>
          <w:lang w:val="en-GB"/>
        </w:rPr>
        <w:t>genotoxicity</w:t>
      </w:r>
      <w:proofErr w:type="spellEnd"/>
      <w:r w:rsidRPr="0061352F">
        <w:rPr>
          <w:rFonts w:ascii="Century Schoolbook" w:hAnsi="Century Schoolbook"/>
          <w:sz w:val="22"/>
          <w:szCs w:val="22"/>
          <w:lang w:val="en-GB"/>
        </w:rPr>
        <w:t xml:space="preserve"> assessment:</w:t>
      </w:r>
      <w:r>
        <w:rPr>
          <w:rFonts w:ascii="Century Schoolbook" w:hAnsi="Century Schoolbook"/>
          <w:sz w:val="22"/>
          <w:szCs w:val="22"/>
          <w:lang w:val="en-GB"/>
        </w:rPr>
        <w:t xml:space="preserve"> e</w:t>
      </w:r>
      <w:r w:rsidRPr="0061352F">
        <w:rPr>
          <w:rFonts w:ascii="Century Schoolbook" w:hAnsi="Century Schoolbook"/>
          <w:sz w:val="22"/>
          <w:szCs w:val="22"/>
          <w:lang w:val="en-GB"/>
        </w:rPr>
        <w:t xml:space="preserve">xperience with pharmaceuticals. </w:t>
      </w:r>
      <w:proofErr w:type="spellStart"/>
      <w:r w:rsidRPr="0061352F">
        <w:rPr>
          <w:rFonts w:ascii="Century Schoolbook" w:hAnsi="Century Schoolbook"/>
          <w:sz w:val="22"/>
          <w:szCs w:val="22"/>
          <w:lang w:val="en-GB"/>
        </w:rPr>
        <w:t>Mutat</w:t>
      </w:r>
      <w:proofErr w:type="spellEnd"/>
      <w:r w:rsidRPr="0061352F">
        <w:rPr>
          <w:rFonts w:ascii="Century Schoolbook" w:hAnsi="Century Schoolbook"/>
          <w:sz w:val="22"/>
          <w:szCs w:val="22"/>
          <w:lang w:val="en-GB"/>
        </w:rPr>
        <w:t xml:space="preserve"> </w:t>
      </w:r>
      <w:proofErr w:type="spellStart"/>
      <w:r w:rsidRPr="0061352F">
        <w:rPr>
          <w:rFonts w:ascii="Century Schoolbook" w:hAnsi="Century Schoolbook"/>
          <w:sz w:val="22"/>
          <w:szCs w:val="22"/>
          <w:lang w:val="en-GB"/>
        </w:rPr>
        <w:t>Res</w:t>
      </w:r>
      <w:proofErr w:type="spellEnd"/>
      <w:r w:rsidRPr="0061352F">
        <w:rPr>
          <w:rFonts w:ascii="Century Schoolbook" w:hAnsi="Century Schoolbook"/>
          <w:sz w:val="22"/>
          <w:szCs w:val="22"/>
          <w:lang w:val="en-GB"/>
        </w:rPr>
        <w:t xml:space="preserve"> 2000</w:t>
      </w:r>
      <w:proofErr w:type="gramStart"/>
      <w:r w:rsidRPr="0061352F">
        <w:rPr>
          <w:rFonts w:ascii="Century Schoolbook" w:hAnsi="Century Schoolbook"/>
          <w:sz w:val="22"/>
          <w:szCs w:val="22"/>
          <w:lang w:val="en-GB"/>
        </w:rPr>
        <w:t>;464</w:t>
      </w:r>
      <w:proofErr w:type="gramEnd"/>
      <w:r w:rsidRPr="0061352F">
        <w:rPr>
          <w:rFonts w:ascii="Century Schoolbook" w:hAnsi="Century Schoolbook"/>
          <w:sz w:val="22"/>
          <w:szCs w:val="22"/>
          <w:lang w:val="en-GB"/>
        </w:rPr>
        <w:t>: 9-34.</w:t>
      </w:r>
    </w:p>
    <w:p w:rsidR="001D26BE" w:rsidRPr="00C9399A" w:rsidRDefault="001D26BE" w:rsidP="005F7F4A">
      <w:pPr>
        <w:autoSpaceDE w:val="0"/>
        <w:autoSpaceDN w:val="0"/>
        <w:adjustRightInd w:val="0"/>
        <w:textAlignment w:val="bottom"/>
        <w:rPr>
          <w:rFonts w:ascii="Century Schoolbook" w:hAnsi="Century Schoolbook"/>
          <w:kern w:val="0"/>
          <w:sz w:val="22"/>
          <w:szCs w:val="22"/>
        </w:rPr>
      </w:pPr>
    </w:p>
    <w:p w:rsidR="001D26BE" w:rsidRPr="00C9399A" w:rsidRDefault="001D26BE" w:rsidP="005F7F4A">
      <w:pPr>
        <w:autoSpaceDE w:val="0"/>
        <w:autoSpaceDN w:val="0"/>
        <w:adjustRightInd w:val="0"/>
        <w:ind w:left="550" w:hangingChars="250" w:hanging="550"/>
        <w:textAlignment w:val="bottom"/>
        <w:rPr>
          <w:rFonts w:ascii="Century Schoolbook" w:hAnsi="Century Schoolbook"/>
          <w:kern w:val="0"/>
          <w:sz w:val="22"/>
          <w:szCs w:val="22"/>
        </w:rPr>
      </w:pPr>
      <w:proofErr w:type="gramStart"/>
      <w:r w:rsidRPr="00C9399A">
        <w:rPr>
          <w:rFonts w:ascii="Century Schoolbook" w:hAnsi="Century Schoolbook"/>
          <w:kern w:val="0"/>
          <w:sz w:val="22"/>
          <w:szCs w:val="22"/>
        </w:rPr>
        <w:t>OECD Gui</w:t>
      </w:r>
      <w:r w:rsidR="008C0244">
        <w:rPr>
          <w:rFonts w:ascii="Century Schoolbook" w:hAnsi="Century Schoolbook"/>
          <w:kern w:val="0"/>
          <w:sz w:val="22"/>
          <w:szCs w:val="22"/>
        </w:rPr>
        <w:t xml:space="preserve">delines for Genetic Toxicology </w:t>
      </w:r>
      <w:r w:rsidRPr="00C9399A">
        <w:rPr>
          <w:rFonts w:ascii="Century Schoolbook" w:hAnsi="Century Schoolbook"/>
          <w:kern w:val="0"/>
          <w:sz w:val="22"/>
          <w:szCs w:val="22"/>
        </w:rPr>
        <w:t>1997.</w:t>
      </w:r>
      <w:proofErr w:type="gramEnd"/>
    </w:p>
    <w:p w:rsidR="001D26BE" w:rsidRPr="00C9399A" w:rsidRDefault="001D26BE" w:rsidP="005F7F4A">
      <w:pPr>
        <w:autoSpaceDE w:val="0"/>
        <w:autoSpaceDN w:val="0"/>
        <w:adjustRightInd w:val="0"/>
        <w:ind w:left="550" w:hangingChars="250" w:hanging="550"/>
        <w:textAlignment w:val="bottom"/>
        <w:rPr>
          <w:rFonts w:ascii="Century Schoolbook" w:hAnsi="Century Schoolbook"/>
          <w:kern w:val="0"/>
          <w:sz w:val="22"/>
          <w:szCs w:val="22"/>
        </w:rPr>
      </w:pPr>
    </w:p>
    <w:p w:rsidR="00E7640B" w:rsidRPr="00E7640B" w:rsidRDefault="00E7640B" w:rsidP="00E7640B">
      <w:pPr>
        <w:autoSpaceDE w:val="0"/>
        <w:autoSpaceDN w:val="0"/>
        <w:adjustRightInd w:val="0"/>
        <w:ind w:leftChars="-1" w:hanging="2"/>
        <w:textAlignment w:val="bottom"/>
        <w:rPr>
          <w:rFonts w:ascii="Century Schoolbook" w:hAnsi="Century Schoolbook"/>
          <w:kern w:val="0"/>
          <w:sz w:val="22"/>
          <w:szCs w:val="22"/>
        </w:rPr>
      </w:pPr>
      <w:r w:rsidRPr="00E7640B">
        <w:rPr>
          <w:rFonts w:ascii="Century Schoolbook" w:hAnsi="Century Schoolbook"/>
          <w:kern w:val="0"/>
          <w:sz w:val="22"/>
          <w:szCs w:val="22"/>
        </w:rPr>
        <w:t xml:space="preserve">Scott D, Galloway SM, Marshall RR, </w:t>
      </w:r>
      <w:proofErr w:type="spellStart"/>
      <w:r w:rsidRPr="00E7640B">
        <w:rPr>
          <w:rFonts w:ascii="Century Schoolbook" w:hAnsi="Century Schoolbook"/>
          <w:kern w:val="0"/>
          <w:sz w:val="22"/>
          <w:szCs w:val="22"/>
        </w:rPr>
        <w:t>Ishidate</w:t>
      </w:r>
      <w:proofErr w:type="spellEnd"/>
      <w:r w:rsidRPr="00E7640B">
        <w:rPr>
          <w:rFonts w:ascii="Century Schoolbook" w:hAnsi="Century Schoolbook"/>
          <w:kern w:val="0"/>
          <w:sz w:val="22"/>
          <w:szCs w:val="22"/>
        </w:rPr>
        <w:t xml:space="preserve"> M </w:t>
      </w:r>
      <w:proofErr w:type="spellStart"/>
      <w:r w:rsidRPr="00E7640B">
        <w:rPr>
          <w:rFonts w:ascii="Century Schoolbook" w:hAnsi="Century Schoolbook"/>
          <w:kern w:val="0"/>
          <w:sz w:val="22"/>
          <w:szCs w:val="22"/>
        </w:rPr>
        <w:t>Jr</w:t>
      </w:r>
      <w:proofErr w:type="spellEnd"/>
      <w:r w:rsidRPr="00E7640B">
        <w:rPr>
          <w:rFonts w:ascii="Century Schoolbook" w:hAnsi="Century Schoolbook"/>
          <w:kern w:val="0"/>
          <w:sz w:val="22"/>
          <w:szCs w:val="22"/>
        </w:rPr>
        <w:t xml:space="preserve">, </w:t>
      </w:r>
      <w:proofErr w:type="spellStart"/>
      <w:r w:rsidRPr="00E7640B">
        <w:rPr>
          <w:rFonts w:ascii="Century Schoolbook" w:hAnsi="Century Schoolbook"/>
          <w:kern w:val="0"/>
          <w:sz w:val="22"/>
          <w:szCs w:val="22"/>
        </w:rPr>
        <w:t>Brusick</w:t>
      </w:r>
      <w:proofErr w:type="spellEnd"/>
      <w:r w:rsidRPr="00E7640B">
        <w:rPr>
          <w:rFonts w:ascii="Century Schoolbook" w:hAnsi="Century Schoolbook"/>
          <w:kern w:val="0"/>
          <w:sz w:val="22"/>
          <w:szCs w:val="22"/>
        </w:rPr>
        <w:t xml:space="preserve"> D, Ashby J et al. </w:t>
      </w:r>
      <w:proofErr w:type="spellStart"/>
      <w:r w:rsidRPr="00E7640B">
        <w:rPr>
          <w:rFonts w:ascii="Century Schoolbook" w:hAnsi="Century Schoolbook"/>
          <w:kern w:val="0"/>
          <w:sz w:val="22"/>
          <w:szCs w:val="22"/>
        </w:rPr>
        <w:t>Genotoxicity</w:t>
      </w:r>
      <w:proofErr w:type="spellEnd"/>
      <w:r w:rsidRPr="00E7640B">
        <w:rPr>
          <w:rFonts w:ascii="Century Schoolbook" w:hAnsi="Century Schoolbook"/>
          <w:kern w:val="0"/>
          <w:sz w:val="22"/>
          <w:szCs w:val="22"/>
        </w:rPr>
        <w:t xml:space="preserve"> under extreme culture conditions</w:t>
      </w:r>
      <w:r>
        <w:rPr>
          <w:rFonts w:ascii="Century Schoolbook" w:hAnsi="Century Schoolbook"/>
          <w:kern w:val="0"/>
          <w:sz w:val="22"/>
          <w:szCs w:val="22"/>
        </w:rPr>
        <w:t xml:space="preserve">. </w:t>
      </w:r>
      <w:r w:rsidR="00E92C77">
        <w:rPr>
          <w:rFonts w:ascii="Century Schoolbook" w:hAnsi="Century Schoolbook"/>
          <w:kern w:val="0"/>
          <w:sz w:val="22"/>
          <w:szCs w:val="22"/>
        </w:rPr>
        <w:t>A report from ICPEMC task g</w:t>
      </w:r>
      <w:r w:rsidRPr="00E7640B">
        <w:rPr>
          <w:rFonts w:ascii="Century Schoolbook" w:hAnsi="Century Schoolbook"/>
          <w:kern w:val="0"/>
          <w:sz w:val="22"/>
          <w:szCs w:val="22"/>
        </w:rPr>
        <w:t xml:space="preserve">roup 9. </w:t>
      </w:r>
      <w:proofErr w:type="spellStart"/>
      <w:r w:rsidRPr="00E7640B">
        <w:rPr>
          <w:rFonts w:ascii="Century Schoolbook" w:hAnsi="Century Schoolbook"/>
          <w:kern w:val="0"/>
          <w:sz w:val="22"/>
          <w:szCs w:val="22"/>
        </w:rPr>
        <w:t>Mutat</w:t>
      </w:r>
      <w:proofErr w:type="spellEnd"/>
      <w:r w:rsidRPr="00E7640B">
        <w:rPr>
          <w:rFonts w:ascii="Century Schoolbook" w:hAnsi="Century Schoolbook"/>
          <w:kern w:val="0"/>
          <w:sz w:val="22"/>
          <w:szCs w:val="22"/>
        </w:rPr>
        <w:t xml:space="preserve"> Res 1991</w:t>
      </w:r>
      <w:proofErr w:type="gramStart"/>
      <w:r w:rsidRPr="00E7640B">
        <w:rPr>
          <w:rFonts w:ascii="Century Schoolbook" w:hAnsi="Century Schoolbook"/>
          <w:kern w:val="0"/>
          <w:sz w:val="22"/>
          <w:szCs w:val="22"/>
        </w:rPr>
        <w:t>;257:147</w:t>
      </w:r>
      <w:proofErr w:type="gramEnd"/>
      <w:r w:rsidRPr="00E7640B">
        <w:rPr>
          <w:rFonts w:ascii="Century Schoolbook" w:hAnsi="Century Schoolbook"/>
          <w:kern w:val="0"/>
          <w:sz w:val="22"/>
          <w:szCs w:val="22"/>
        </w:rPr>
        <w:t>-204.</w:t>
      </w:r>
    </w:p>
    <w:p w:rsidR="001D26BE" w:rsidRPr="00C9399A" w:rsidRDefault="001D26BE" w:rsidP="00E7640B">
      <w:pPr>
        <w:autoSpaceDE w:val="0"/>
        <w:autoSpaceDN w:val="0"/>
        <w:adjustRightInd w:val="0"/>
        <w:ind w:leftChars="-1" w:hanging="2"/>
        <w:textAlignment w:val="bottom"/>
        <w:rPr>
          <w:rFonts w:ascii="Century Schoolbook" w:hAnsi="Century Schoolbook"/>
          <w:kern w:val="0"/>
          <w:sz w:val="22"/>
          <w:szCs w:val="22"/>
        </w:rPr>
      </w:pPr>
    </w:p>
    <w:p w:rsidR="00E2197B" w:rsidRPr="00E2197B" w:rsidRDefault="00E2197B" w:rsidP="00E2197B">
      <w:pPr>
        <w:widowControl/>
        <w:tabs>
          <w:tab w:val="num" w:pos="720"/>
        </w:tabs>
        <w:rPr>
          <w:rFonts w:ascii="Century Schoolbook" w:hAnsi="Century Schoolbook"/>
          <w:sz w:val="22"/>
          <w:szCs w:val="22"/>
          <w:lang w:val="en-GB"/>
        </w:rPr>
      </w:pPr>
      <w:proofErr w:type="spellStart"/>
      <w:r w:rsidRPr="00E2197B">
        <w:rPr>
          <w:rFonts w:ascii="Century Schoolbook" w:hAnsi="Century Schoolbook"/>
          <w:sz w:val="22"/>
          <w:szCs w:val="22"/>
          <w:lang w:val="en-GB"/>
        </w:rPr>
        <w:t>Storer</w:t>
      </w:r>
      <w:proofErr w:type="spellEnd"/>
      <w:r w:rsidRPr="00E2197B">
        <w:rPr>
          <w:rFonts w:ascii="Century Schoolbook" w:hAnsi="Century Schoolbook"/>
          <w:sz w:val="22"/>
          <w:szCs w:val="22"/>
          <w:lang w:val="en-GB"/>
        </w:rPr>
        <w:t xml:space="preserve"> RD, </w:t>
      </w:r>
      <w:proofErr w:type="spellStart"/>
      <w:r w:rsidRPr="00E2197B">
        <w:rPr>
          <w:rFonts w:ascii="Century Schoolbook" w:hAnsi="Century Schoolbook"/>
          <w:sz w:val="22"/>
          <w:szCs w:val="22"/>
          <w:lang w:val="en-GB"/>
        </w:rPr>
        <w:t>McKelvey</w:t>
      </w:r>
      <w:proofErr w:type="spellEnd"/>
      <w:r w:rsidRPr="00E2197B">
        <w:rPr>
          <w:rFonts w:ascii="Century Schoolbook" w:hAnsi="Century Schoolbook"/>
          <w:sz w:val="22"/>
          <w:szCs w:val="22"/>
          <w:lang w:val="en-GB"/>
        </w:rPr>
        <w:t xml:space="preserve"> TW, </w:t>
      </w:r>
      <w:proofErr w:type="spellStart"/>
      <w:smartTag w:uri="urn:schemas-microsoft-com:office:smarttags" w:element="place">
        <w:smartTag w:uri="urn:schemas-microsoft-com:office:smarttags" w:element="City">
          <w:r w:rsidRPr="00E2197B">
            <w:rPr>
              <w:rFonts w:ascii="Century Schoolbook" w:hAnsi="Century Schoolbook"/>
              <w:sz w:val="22"/>
              <w:szCs w:val="22"/>
              <w:lang w:val="en-GB"/>
            </w:rPr>
            <w:t>Kraynak</w:t>
          </w:r>
        </w:smartTag>
        <w:proofErr w:type="spellEnd"/>
        <w:r w:rsidRPr="00E2197B">
          <w:rPr>
            <w:rFonts w:ascii="Century Schoolbook" w:hAnsi="Century Schoolbook"/>
            <w:sz w:val="22"/>
            <w:szCs w:val="22"/>
            <w:lang w:val="en-GB"/>
          </w:rPr>
          <w:t xml:space="preserve"> </w:t>
        </w:r>
        <w:smartTag w:uri="urn:schemas-microsoft-com:office:smarttags" w:element="State">
          <w:r w:rsidRPr="00E2197B">
            <w:rPr>
              <w:rFonts w:ascii="Century Schoolbook" w:hAnsi="Century Schoolbook"/>
              <w:sz w:val="22"/>
              <w:szCs w:val="22"/>
              <w:lang w:val="en-GB"/>
            </w:rPr>
            <w:t>AR</w:t>
          </w:r>
        </w:smartTag>
      </w:smartTag>
      <w:r w:rsidRPr="00E2197B">
        <w:rPr>
          <w:rFonts w:ascii="Century Schoolbook" w:hAnsi="Century Schoolbook"/>
          <w:sz w:val="22"/>
          <w:szCs w:val="22"/>
          <w:lang w:val="en-GB"/>
        </w:rPr>
        <w:t xml:space="preserve">, </w:t>
      </w:r>
      <w:proofErr w:type="spellStart"/>
      <w:r w:rsidRPr="00E2197B">
        <w:rPr>
          <w:rFonts w:ascii="Century Schoolbook" w:hAnsi="Century Schoolbook"/>
          <w:sz w:val="22"/>
          <w:szCs w:val="22"/>
          <w:lang w:val="en-GB"/>
        </w:rPr>
        <w:t>Elia</w:t>
      </w:r>
      <w:proofErr w:type="spellEnd"/>
      <w:r w:rsidRPr="00E2197B">
        <w:rPr>
          <w:rFonts w:ascii="Century Schoolbook" w:hAnsi="Century Schoolbook"/>
          <w:sz w:val="22"/>
          <w:szCs w:val="22"/>
          <w:lang w:val="en-GB"/>
        </w:rPr>
        <w:t xml:space="preserve"> MC, Barnum JE, </w:t>
      </w:r>
      <w:proofErr w:type="gramStart"/>
      <w:r w:rsidRPr="00E2197B">
        <w:rPr>
          <w:rFonts w:ascii="Century Schoolbook" w:hAnsi="Century Schoolbook"/>
          <w:sz w:val="22"/>
          <w:szCs w:val="22"/>
          <w:lang w:val="en-GB"/>
        </w:rPr>
        <w:t>Harmon</w:t>
      </w:r>
      <w:proofErr w:type="gramEnd"/>
      <w:r w:rsidRPr="00E2197B">
        <w:rPr>
          <w:rFonts w:ascii="Century Schoolbook" w:hAnsi="Century Schoolbook"/>
          <w:sz w:val="22"/>
          <w:szCs w:val="22"/>
          <w:lang w:val="en-GB"/>
        </w:rPr>
        <w:t xml:space="preserve"> LS et al. Revalidation of the </w:t>
      </w:r>
      <w:r w:rsidRPr="00E2197B">
        <w:rPr>
          <w:rFonts w:ascii="Century Schoolbook" w:hAnsi="Century Schoolbook"/>
          <w:i/>
          <w:iCs/>
          <w:sz w:val="22"/>
          <w:szCs w:val="22"/>
          <w:lang w:val="en-GB"/>
        </w:rPr>
        <w:t>in vitro</w:t>
      </w:r>
      <w:r w:rsidRPr="00E2197B">
        <w:rPr>
          <w:rFonts w:ascii="Century Schoolbook" w:hAnsi="Century Schoolbook"/>
          <w:sz w:val="22"/>
          <w:szCs w:val="22"/>
          <w:lang w:val="en-GB"/>
        </w:rPr>
        <w:t xml:space="preserve"> alkaline elution/rat </w:t>
      </w:r>
      <w:proofErr w:type="spellStart"/>
      <w:r w:rsidRPr="00E2197B">
        <w:rPr>
          <w:rFonts w:ascii="Century Schoolbook" w:hAnsi="Century Schoolbook"/>
          <w:sz w:val="22"/>
          <w:szCs w:val="22"/>
          <w:lang w:val="en-GB"/>
        </w:rPr>
        <w:t>hepatocyte</w:t>
      </w:r>
      <w:proofErr w:type="spellEnd"/>
      <w:r w:rsidRPr="00E2197B">
        <w:rPr>
          <w:rFonts w:ascii="Century Schoolbook" w:hAnsi="Century Schoolbook"/>
          <w:sz w:val="22"/>
          <w:szCs w:val="22"/>
          <w:lang w:val="en-GB"/>
        </w:rPr>
        <w:t xml:space="preserve"> assay for DNA damage: improved criteria for assessment of </w:t>
      </w:r>
      <w:proofErr w:type="spellStart"/>
      <w:r w:rsidRPr="00E2197B">
        <w:rPr>
          <w:rFonts w:ascii="Century Schoolbook" w:hAnsi="Century Schoolbook"/>
          <w:sz w:val="22"/>
          <w:szCs w:val="22"/>
          <w:lang w:val="en-GB"/>
        </w:rPr>
        <w:t>cytotoxicity</w:t>
      </w:r>
      <w:proofErr w:type="spellEnd"/>
      <w:r w:rsidRPr="00E2197B">
        <w:rPr>
          <w:rFonts w:ascii="Century Schoolbook" w:hAnsi="Century Schoolbook"/>
          <w:sz w:val="22"/>
          <w:szCs w:val="22"/>
          <w:lang w:val="en-GB"/>
        </w:rPr>
        <w:t xml:space="preserve"> and </w:t>
      </w:r>
      <w:proofErr w:type="spellStart"/>
      <w:r w:rsidRPr="00E2197B">
        <w:rPr>
          <w:rFonts w:ascii="Century Schoolbook" w:hAnsi="Century Schoolbook"/>
          <w:sz w:val="22"/>
          <w:szCs w:val="22"/>
          <w:lang w:val="en-GB"/>
        </w:rPr>
        <w:t>genotoxicity</w:t>
      </w:r>
      <w:proofErr w:type="spellEnd"/>
      <w:r w:rsidRPr="00E2197B">
        <w:rPr>
          <w:rFonts w:ascii="Century Schoolbook" w:hAnsi="Century Schoolbook"/>
          <w:sz w:val="22"/>
          <w:szCs w:val="22"/>
          <w:lang w:val="en-GB"/>
        </w:rPr>
        <w:t xml:space="preserve"> and results for 81 compounds. </w:t>
      </w:r>
      <w:proofErr w:type="spellStart"/>
      <w:r w:rsidRPr="00E2197B">
        <w:rPr>
          <w:rFonts w:ascii="Century Schoolbook" w:hAnsi="Century Schoolbook"/>
          <w:iCs/>
          <w:sz w:val="22"/>
          <w:szCs w:val="22"/>
          <w:lang w:val="en-GB"/>
        </w:rPr>
        <w:t>Mutat</w:t>
      </w:r>
      <w:proofErr w:type="spellEnd"/>
      <w:r w:rsidRPr="00E2197B">
        <w:rPr>
          <w:rFonts w:ascii="Century Schoolbook" w:hAnsi="Century Schoolbook"/>
          <w:iCs/>
          <w:sz w:val="22"/>
          <w:szCs w:val="22"/>
          <w:lang w:val="en-GB"/>
        </w:rPr>
        <w:t xml:space="preserve"> </w:t>
      </w:r>
      <w:proofErr w:type="spellStart"/>
      <w:r w:rsidRPr="00E2197B">
        <w:rPr>
          <w:rFonts w:ascii="Century Schoolbook" w:hAnsi="Century Schoolbook"/>
          <w:iCs/>
          <w:sz w:val="22"/>
          <w:szCs w:val="22"/>
          <w:lang w:val="en-GB"/>
        </w:rPr>
        <w:t>Res</w:t>
      </w:r>
      <w:proofErr w:type="spellEnd"/>
      <w:r w:rsidRPr="00E2197B">
        <w:rPr>
          <w:rFonts w:ascii="Century Schoolbook" w:hAnsi="Century Schoolbook"/>
          <w:iCs/>
          <w:sz w:val="22"/>
          <w:szCs w:val="22"/>
          <w:lang w:val="en-GB"/>
        </w:rPr>
        <w:t xml:space="preserve"> </w:t>
      </w:r>
      <w:r w:rsidRPr="00E2197B">
        <w:rPr>
          <w:rFonts w:ascii="Century Schoolbook" w:hAnsi="Century Schoolbook"/>
          <w:sz w:val="22"/>
          <w:szCs w:val="22"/>
          <w:lang w:val="en-GB"/>
        </w:rPr>
        <w:t>1996</w:t>
      </w:r>
      <w:proofErr w:type="gramStart"/>
      <w:r w:rsidRPr="00E2197B">
        <w:rPr>
          <w:rFonts w:ascii="Century Schoolbook" w:hAnsi="Century Schoolbook"/>
          <w:sz w:val="22"/>
          <w:szCs w:val="22"/>
          <w:lang w:val="en-GB"/>
        </w:rPr>
        <w:t>;368:59</w:t>
      </w:r>
      <w:proofErr w:type="gramEnd"/>
      <w:r w:rsidRPr="00E2197B">
        <w:rPr>
          <w:rFonts w:ascii="Century Schoolbook" w:hAnsi="Century Schoolbook"/>
          <w:sz w:val="22"/>
          <w:szCs w:val="22"/>
          <w:lang w:val="en-GB"/>
        </w:rPr>
        <w:t>-101.</w:t>
      </w:r>
    </w:p>
    <w:p w:rsidR="001D26BE" w:rsidRPr="00C9399A" w:rsidRDefault="001D26BE" w:rsidP="005F7F4A">
      <w:pPr>
        <w:widowControl/>
        <w:tabs>
          <w:tab w:val="num" w:pos="720"/>
        </w:tabs>
        <w:rPr>
          <w:rFonts w:ascii="Century Schoolbook" w:hAnsi="Century Schoolbook"/>
          <w:sz w:val="22"/>
          <w:szCs w:val="22"/>
        </w:rPr>
      </w:pPr>
    </w:p>
    <w:p w:rsidR="00895501" w:rsidRPr="00895501" w:rsidRDefault="00895501" w:rsidP="00895501">
      <w:pPr>
        <w:autoSpaceDE w:val="0"/>
        <w:autoSpaceDN w:val="0"/>
        <w:adjustRightInd w:val="0"/>
        <w:textAlignment w:val="bottom"/>
        <w:rPr>
          <w:rFonts w:ascii="Century Schoolbook" w:hAnsi="Century Schoolbook"/>
          <w:sz w:val="22"/>
          <w:szCs w:val="22"/>
          <w:lang w:val="en-GB"/>
        </w:rPr>
      </w:pPr>
      <w:proofErr w:type="gramStart"/>
      <w:r w:rsidRPr="00895501">
        <w:rPr>
          <w:rFonts w:ascii="Century Schoolbook" w:hAnsi="Century Schoolbook"/>
          <w:sz w:val="22"/>
          <w:szCs w:val="22"/>
          <w:lang w:val="en-GB"/>
        </w:rPr>
        <w:t>Suzuki</w:t>
      </w:r>
      <w:bookmarkStart w:id="120" w:name="bcor1"/>
      <w:bookmarkEnd w:id="120"/>
      <w:r w:rsidRPr="00895501">
        <w:rPr>
          <w:rFonts w:ascii="Century Schoolbook" w:hAnsi="Century Schoolbook"/>
          <w:sz w:val="22"/>
          <w:szCs w:val="22"/>
          <w:lang w:val="en-GB"/>
        </w:rPr>
        <w:t xml:space="preserve"> H, Ikeda N, Kobayashi K, </w:t>
      </w:r>
      <w:proofErr w:type="spellStart"/>
      <w:r w:rsidRPr="00895501">
        <w:rPr>
          <w:rFonts w:ascii="Century Schoolbook" w:hAnsi="Century Schoolbook"/>
          <w:sz w:val="22"/>
          <w:szCs w:val="22"/>
          <w:lang w:val="en-GB"/>
        </w:rPr>
        <w:t>Terashima</w:t>
      </w:r>
      <w:proofErr w:type="spellEnd"/>
      <w:r w:rsidRPr="00895501">
        <w:rPr>
          <w:rFonts w:ascii="Century Schoolbook" w:hAnsi="Century Schoolbook"/>
          <w:sz w:val="22"/>
          <w:szCs w:val="22"/>
          <w:lang w:val="en-GB"/>
        </w:rPr>
        <w:t xml:space="preserve"> Y, Shimada Y, Suzuki T et al. Evaluation of liver and peripheral blood micronucleus assays with 9 chemicals using young rats</w:t>
      </w:r>
      <w:r>
        <w:rPr>
          <w:rFonts w:ascii="Century Schoolbook" w:hAnsi="Century Schoolbook"/>
          <w:sz w:val="22"/>
          <w:szCs w:val="22"/>
          <w:lang w:val="en-GB"/>
        </w:rPr>
        <w:t>.</w:t>
      </w:r>
      <w:proofErr w:type="gramEnd"/>
      <w:r w:rsidRPr="00895501">
        <w:rPr>
          <w:rFonts w:ascii="Century Schoolbook" w:hAnsi="Century Schoolbook"/>
          <w:sz w:val="22"/>
          <w:szCs w:val="22"/>
          <w:lang w:val="en-GB"/>
        </w:rPr>
        <w:t xml:space="preserve"> A study by the Collaborative Study Group for the Micronucleus Test (CSGMT)/Japanese Environmental </w:t>
      </w:r>
      <w:proofErr w:type="spellStart"/>
      <w:r w:rsidRPr="00895501">
        <w:rPr>
          <w:rFonts w:ascii="Century Schoolbook" w:hAnsi="Century Schoolbook"/>
          <w:sz w:val="22"/>
          <w:szCs w:val="22"/>
          <w:lang w:val="en-GB"/>
        </w:rPr>
        <w:t>Mutagen</w:t>
      </w:r>
      <w:proofErr w:type="spellEnd"/>
      <w:r w:rsidRPr="00895501">
        <w:rPr>
          <w:rFonts w:ascii="Century Schoolbook" w:hAnsi="Century Schoolbook"/>
          <w:sz w:val="22"/>
          <w:szCs w:val="22"/>
          <w:lang w:val="en-GB"/>
        </w:rPr>
        <w:t xml:space="preserve"> Society (JEMS) - Mammalian </w:t>
      </w:r>
      <w:proofErr w:type="spellStart"/>
      <w:r w:rsidRPr="00895501">
        <w:rPr>
          <w:rFonts w:ascii="Century Schoolbook" w:hAnsi="Century Schoolbook"/>
          <w:sz w:val="22"/>
          <w:szCs w:val="22"/>
          <w:lang w:val="en-GB"/>
        </w:rPr>
        <w:t>Mutagenicity</w:t>
      </w:r>
      <w:proofErr w:type="spellEnd"/>
      <w:r w:rsidRPr="00895501">
        <w:rPr>
          <w:rFonts w:ascii="Century Schoolbook" w:hAnsi="Century Schoolbook"/>
          <w:sz w:val="22"/>
          <w:szCs w:val="22"/>
          <w:lang w:val="en-GB"/>
        </w:rPr>
        <w:t xml:space="preserve"> Study Group (MMS). </w:t>
      </w:r>
      <w:proofErr w:type="spellStart"/>
      <w:r w:rsidRPr="00895501">
        <w:rPr>
          <w:rFonts w:ascii="Century Schoolbook" w:hAnsi="Century Schoolbook"/>
          <w:sz w:val="22"/>
          <w:szCs w:val="22"/>
          <w:lang w:val="en-GB"/>
        </w:rPr>
        <w:t>Mutat</w:t>
      </w:r>
      <w:proofErr w:type="spellEnd"/>
      <w:r w:rsidRPr="00895501">
        <w:rPr>
          <w:rFonts w:ascii="Century Schoolbook" w:hAnsi="Century Schoolbook"/>
          <w:sz w:val="22"/>
          <w:szCs w:val="22"/>
          <w:lang w:val="en-GB"/>
        </w:rPr>
        <w:t xml:space="preserve"> </w:t>
      </w:r>
      <w:proofErr w:type="spellStart"/>
      <w:r w:rsidRPr="00895501">
        <w:rPr>
          <w:rFonts w:ascii="Century Schoolbook" w:hAnsi="Century Schoolbook"/>
          <w:sz w:val="22"/>
          <w:szCs w:val="22"/>
          <w:lang w:val="en-GB"/>
        </w:rPr>
        <w:t>Res</w:t>
      </w:r>
      <w:proofErr w:type="spellEnd"/>
      <w:r w:rsidRPr="00895501">
        <w:rPr>
          <w:rFonts w:ascii="Century Schoolbook" w:hAnsi="Century Schoolbook"/>
          <w:sz w:val="22"/>
          <w:szCs w:val="22"/>
          <w:lang w:val="en-GB"/>
        </w:rPr>
        <w:t xml:space="preserve"> 2005</w:t>
      </w:r>
      <w:proofErr w:type="gramStart"/>
      <w:r w:rsidRPr="00895501">
        <w:rPr>
          <w:rFonts w:ascii="Century Schoolbook" w:hAnsi="Century Schoolbook"/>
          <w:sz w:val="22"/>
          <w:szCs w:val="22"/>
          <w:lang w:val="en-GB"/>
        </w:rPr>
        <w:t>;</w:t>
      </w:r>
      <w:r>
        <w:rPr>
          <w:rFonts w:ascii="Century Schoolbook" w:hAnsi="Century Schoolbook"/>
          <w:sz w:val="22"/>
          <w:szCs w:val="22"/>
          <w:lang w:val="en-GB"/>
        </w:rPr>
        <w:t>583:133</w:t>
      </w:r>
      <w:proofErr w:type="gramEnd"/>
      <w:r>
        <w:rPr>
          <w:rFonts w:ascii="Century Schoolbook" w:hAnsi="Century Schoolbook"/>
          <w:sz w:val="22"/>
          <w:szCs w:val="22"/>
          <w:lang w:val="en-GB"/>
        </w:rPr>
        <w:t>-</w:t>
      </w:r>
      <w:r w:rsidRPr="00895501">
        <w:rPr>
          <w:rFonts w:ascii="Century Schoolbook" w:hAnsi="Century Schoolbook"/>
          <w:sz w:val="22"/>
          <w:szCs w:val="22"/>
          <w:lang w:val="en-GB"/>
        </w:rPr>
        <w:t>45.</w:t>
      </w:r>
    </w:p>
    <w:p w:rsidR="001D26BE" w:rsidRPr="00C9399A" w:rsidRDefault="001D26BE" w:rsidP="003F6340">
      <w:pPr>
        <w:autoSpaceDE w:val="0"/>
        <w:autoSpaceDN w:val="0"/>
        <w:adjustRightInd w:val="0"/>
        <w:ind w:leftChars="-3" w:left="2" w:hangingChars="4" w:hanging="9"/>
        <w:textAlignment w:val="bottom"/>
        <w:rPr>
          <w:rFonts w:ascii="Century Schoolbook" w:hAnsi="Century Schoolbook"/>
          <w:kern w:val="0"/>
          <w:sz w:val="22"/>
          <w:szCs w:val="22"/>
        </w:rPr>
      </w:pPr>
    </w:p>
    <w:p w:rsidR="003F6340" w:rsidRPr="003F6340" w:rsidRDefault="003F6340" w:rsidP="003F6340">
      <w:pPr>
        <w:autoSpaceDE w:val="0"/>
        <w:autoSpaceDN w:val="0"/>
        <w:adjustRightInd w:val="0"/>
        <w:ind w:leftChars="-3" w:left="2" w:hangingChars="4" w:hanging="9"/>
        <w:textAlignment w:val="bottom"/>
        <w:rPr>
          <w:rFonts w:ascii="Century Schoolbook" w:hAnsi="Century Schoolbook"/>
          <w:sz w:val="22"/>
          <w:szCs w:val="22"/>
          <w:lang w:val="en-GB"/>
        </w:rPr>
      </w:pPr>
      <w:proofErr w:type="spellStart"/>
      <w:r w:rsidRPr="003F6340">
        <w:rPr>
          <w:rFonts w:ascii="Century Schoolbook" w:hAnsi="Century Schoolbook"/>
          <w:sz w:val="22"/>
          <w:szCs w:val="22"/>
          <w:lang w:val="en-GB"/>
        </w:rPr>
        <w:t>Thybaud</w:t>
      </w:r>
      <w:proofErr w:type="spellEnd"/>
      <w:r w:rsidRPr="003F6340">
        <w:rPr>
          <w:rFonts w:ascii="Century Schoolbook" w:hAnsi="Century Schoolbook"/>
          <w:sz w:val="22"/>
          <w:szCs w:val="22"/>
          <w:lang w:val="en-GB"/>
        </w:rPr>
        <w:t xml:space="preserve"> V, </w:t>
      </w:r>
      <w:proofErr w:type="spellStart"/>
      <w:r w:rsidRPr="003F6340">
        <w:rPr>
          <w:rFonts w:ascii="Century Schoolbook" w:hAnsi="Century Schoolbook"/>
          <w:sz w:val="22"/>
          <w:szCs w:val="22"/>
          <w:lang w:val="en-GB"/>
        </w:rPr>
        <w:t>Aardema</w:t>
      </w:r>
      <w:proofErr w:type="spellEnd"/>
      <w:r w:rsidRPr="003F6340">
        <w:rPr>
          <w:rFonts w:ascii="Century Schoolbook" w:hAnsi="Century Schoolbook"/>
          <w:sz w:val="22"/>
          <w:szCs w:val="22"/>
          <w:lang w:val="en-GB"/>
        </w:rPr>
        <w:t xml:space="preserve"> M, Clements J, </w:t>
      </w:r>
      <w:proofErr w:type="spellStart"/>
      <w:r w:rsidRPr="003F6340">
        <w:rPr>
          <w:rFonts w:ascii="Century Schoolbook" w:hAnsi="Century Schoolbook"/>
          <w:sz w:val="22"/>
          <w:szCs w:val="22"/>
          <w:lang w:val="en-GB"/>
        </w:rPr>
        <w:t>Dearfield</w:t>
      </w:r>
      <w:proofErr w:type="spellEnd"/>
      <w:r w:rsidRPr="003F6340">
        <w:rPr>
          <w:rFonts w:ascii="Century Schoolbook" w:hAnsi="Century Schoolbook"/>
          <w:sz w:val="22"/>
          <w:szCs w:val="22"/>
          <w:lang w:val="en-GB"/>
        </w:rPr>
        <w:t xml:space="preserve"> K, Galloway S, </w:t>
      </w:r>
      <w:proofErr w:type="gramStart"/>
      <w:r w:rsidRPr="003F6340">
        <w:rPr>
          <w:rFonts w:ascii="Century Schoolbook" w:hAnsi="Century Schoolbook"/>
          <w:sz w:val="22"/>
          <w:szCs w:val="22"/>
          <w:lang w:val="en-GB"/>
        </w:rPr>
        <w:t>Hayashi</w:t>
      </w:r>
      <w:proofErr w:type="gramEnd"/>
      <w:r w:rsidRPr="003F6340">
        <w:rPr>
          <w:rFonts w:ascii="Century Schoolbook" w:hAnsi="Century Schoolbook"/>
          <w:sz w:val="22"/>
          <w:szCs w:val="22"/>
          <w:lang w:val="en-GB"/>
        </w:rPr>
        <w:t xml:space="preserve"> M et al. Strategy for </w:t>
      </w:r>
      <w:proofErr w:type="spellStart"/>
      <w:r w:rsidRPr="003F6340">
        <w:rPr>
          <w:rFonts w:ascii="Century Schoolbook" w:hAnsi="Century Schoolbook"/>
          <w:sz w:val="22"/>
          <w:szCs w:val="22"/>
          <w:lang w:val="en-GB"/>
        </w:rPr>
        <w:t>genotoxicity</w:t>
      </w:r>
      <w:proofErr w:type="spellEnd"/>
      <w:r w:rsidRPr="003F6340">
        <w:rPr>
          <w:rFonts w:ascii="Century Schoolbook" w:hAnsi="Century Schoolbook"/>
          <w:sz w:val="22"/>
          <w:szCs w:val="22"/>
          <w:lang w:val="en-GB"/>
        </w:rPr>
        <w:t xml:space="preserve"> testing: </w:t>
      </w:r>
      <w:r>
        <w:rPr>
          <w:rFonts w:ascii="Century Schoolbook" w:hAnsi="Century Schoolbook"/>
          <w:sz w:val="22"/>
          <w:szCs w:val="22"/>
          <w:lang w:val="en-GB"/>
        </w:rPr>
        <w:t>h</w:t>
      </w:r>
      <w:r w:rsidRPr="003F6340">
        <w:rPr>
          <w:rFonts w:ascii="Century Schoolbook" w:hAnsi="Century Schoolbook"/>
          <w:sz w:val="22"/>
          <w:szCs w:val="22"/>
          <w:lang w:val="en-GB"/>
        </w:rPr>
        <w:t xml:space="preserve">azard identification and risk assessment in relation to </w:t>
      </w:r>
      <w:r w:rsidRPr="003F6340">
        <w:rPr>
          <w:rFonts w:ascii="Century Schoolbook" w:hAnsi="Century Schoolbook"/>
          <w:i/>
          <w:iCs/>
          <w:sz w:val="22"/>
          <w:szCs w:val="22"/>
          <w:lang w:val="en-GB"/>
        </w:rPr>
        <w:t>in vitro</w:t>
      </w:r>
      <w:r w:rsidRPr="003F6340">
        <w:rPr>
          <w:rFonts w:ascii="Century Schoolbook" w:hAnsi="Century Schoolbook"/>
          <w:sz w:val="22"/>
          <w:szCs w:val="22"/>
          <w:lang w:val="en-GB"/>
        </w:rPr>
        <w:t xml:space="preserve"> testing. </w:t>
      </w:r>
      <w:proofErr w:type="spellStart"/>
      <w:r w:rsidRPr="003F6340">
        <w:rPr>
          <w:rFonts w:ascii="Century Schoolbook" w:hAnsi="Century Schoolbook"/>
          <w:iCs/>
          <w:sz w:val="22"/>
          <w:szCs w:val="22"/>
          <w:lang w:val="en-GB"/>
        </w:rPr>
        <w:t>Mutat</w:t>
      </w:r>
      <w:proofErr w:type="spellEnd"/>
      <w:r w:rsidRPr="003F6340">
        <w:rPr>
          <w:rFonts w:ascii="Century Schoolbook" w:hAnsi="Century Schoolbook"/>
          <w:iCs/>
          <w:sz w:val="22"/>
          <w:szCs w:val="22"/>
          <w:lang w:val="en-GB"/>
        </w:rPr>
        <w:t xml:space="preserve"> </w:t>
      </w:r>
      <w:proofErr w:type="spellStart"/>
      <w:r w:rsidRPr="003F6340">
        <w:rPr>
          <w:rFonts w:ascii="Century Schoolbook" w:hAnsi="Century Schoolbook"/>
          <w:iCs/>
          <w:sz w:val="22"/>
          <w:szCs w:val="22"/>
          <w:lang w:val="en-GB"/>
        </w:rPr>
        <w:t>Res</w:t>
      </w:r>
      <w:proofErr w:type="spellEnd"/>
      <w:r w:rsidRPr="003F6340">
        <w:rPr>
          <w:rFonts w:ascii="Century Schoolbook" w:hAnsi="Century Schoolbook"/>
          <w:sz w:val="22"/>
          <w:szCs w:val="22"/>
          <w:lang w:val="en-GB"/>
        </w:rPr>
        <w:t xml:space="preserve"> 2007</w:t>
      </w:r>
      <w:proofErr w:type="gramStart"/>
      <w:r w:rsidRPr="003F6340">
        <w:rPr>
          <w:rFonts w:ascii="Century Schoolbook" w:hAnsi="Century Schoolbook"/>
          <w:sz w:val="22"/>
          <w:szCs w:val="22"/>
          <w:lang w:val="en-GB"/>
        </w:rPr>
        <w:t>;627:41</w:t>
      </w:r>
      <w:proofErr w:type="gramEnd"/>
      <w:r w:rsidRPr="003F6340">
        <w:rPr>
          <w:rFonts w:ascii="Century Schoolbook" w:hAnsi="Century Schoolbook"/>
          <w:sz w:val="22"/>
          <w:szCs w:val="22"/>
          <w:lang w:val="en-GB"/>
        </w:rPr>
        <w:t>-58.</w:t>
      </w:r>
    </w:p>
    <w:p w:rsidR="001D26BE" w:rsidRPr="00C9399A" w:rsidRDefault="001D26BE" w:rsidP="003F6340">
      <w:pPr>
        <w:autoSpaceDE w:val="0"/>
        <w:autoSpaceDN w:val="0"/>
        <w:adjustRightInd w:val="0"/>
        <w:ind w:leftChars="-3" w:left="2" w:hangingChars="4" w:hanging="9"/>
        <w:textAlignment w:val="bottom"/>
        <w:rPr>
          <w:rFonts w:ascii="Century Schoolbook" w:hAnsi="Century Schoolbook"/>
          <w:kern w:val="0"/>
          <w:sz w:val="22"/>
          <w:szCs w:val="22"/>
        </w:rPr>
      </w:pPr>
    </w:p>
    <w:p w:rsidR="003F6340" w:rsidRDefault="003F6340" w:rsidP="003F6340">
      <w:pPr>
        <w:widowControl/>
        <w:ind w:leftChars="-3" w:left="2" w:hangingChars="4" w:hanging="9"/>
        <w:rPr>
          <w:rFonts w:ascii="Century Schoolbook" w:hAnsi="Century Schoolbook"/>
          <w:sz w:val="22"/>
          <w:szCs w:val="22"/>
          <w:lang w:val="en-GB"/>
        </w:rPr>
      </w:pPr>
      <w:proofErr w:type="spellStart"/>
      <w:r w:rsidRPr="003F6340">
        <w:rPr>
          <w:rFonts w:ascii="Century Schoolbook" w:hAnsi="Century Schoolbook"/>
          <w:sz w:val="22"/>
          <w:szCs w:val="22"/>
          <w:lang w:val="en-GB"/>
        </w:rPr>
        <w:t>Tweats</w:t>
      </w:r>
      <w:proofErr w:type="spellEnd"/>
      <w:r w:rsidRPr="003F6340">
        <w:rPr>
          <w:rFonts w:ascii="Century Schoolbook" w:hAnsi="Century Schoolbook"/>
          <w:sz w:val="22"/>
          <w:szCs w:val="22"/>
          <w:lang w:val="en-GB"/>
        </w:rPr>
        <w:t xml:space="preserve"> DJ, </w:t>
      </w:r>
      <w:proofErr w:type="spellStart"/>
      <w:r w:rsidRPr="003F6340">
        <w:rPr>
          <w:rFonts w:ascii="Century Schoolbook" w:hAnsi="Century Schoolbook"/>
          <w:sz w:val="22"/>
          <w:szCs w:val="22"/>
          <w:lang w:val="en-GB"/>
        </w:rPr>
        <w:t>Blakey</w:t>
      </w:r>
      <w:proofErr w:type="spellEnd"/>
      <w:r w:rsidRPr="003F6340">
        <w:rPr>
          <w:rFonts w:ascii="Century Schoolbook" w:hAnsi="Century Schoolbook"/>
          <w:sz w:val="22"/>
          <w:szCs w:val="22"/>
          <w:lang w:val="en-GB"/>
        </w:rPr>
        <w:t xml:space="preserve"> D, </w:t>
      </w:r>
      <w:proofErr w:type="spellStart"/>
      <w:r w:rsidRPr="003F6340">
        <w:rPr>
          <w:rFonts w:ascii="Century Schoolbook" w:hAnsi="Century Schoolbook"/>
          <w:sz w:val="22"/>
          <w:szCs w:val="22"/>
          <w:lang w:val="en-GB"/>
        </w:rPr>
        <w:t>Heflich</w:t>
      </w:r>
      <w:proofErr w:type="spellEnd"/>
      <w:r w:rsidRPr="003F6340">
        <w:rPr>
          <w:rFonts w:ascii="Century Schoolbook" w:hAnsi="Century Schoolbook"/>
          <w:sz w:val="22"/>
          <w:szCs w:val="22"/>
          <w:lang w:val="en-GB"/>
        </w:rPr>
        <w:t xml:space="preserve"> RH, Jacobs A, Jacobsen SD, Morita T et al. Report of the IWGT working group on strategies and interpretation of regulatory </w:t>
      </w:r>
      <w:r w:rsidRPr="003F6340">
        <w:rPr>
          <w:rFonts w:ascii="Century Schoolbook" w:hAnsi="Century Schoolbook"/>
          <w:i/>
          <w:iCs/>
          <w:sz w:val="22"/>
          <w:szCs w:val="22"/>
          <w:lang w:val="en-GB"/>
        </w:rPr>
        <w:t>in vivo</w:t>
      </w:r>
      <w:r w:rsidRPr="003F6340">
        <w:rPr>
          <w:rFonts w:ascii="Century Schoolbook" w:hAnsi="Century Schoolbook"/>
          <w:sz w:val="22"/>
          <w:szCs w:val="22"/>
          <w:lang w:val="en-GB"/>
        </w:rPr>
        <w:t xml:space="preserve"> tests. I. Increases in </w:t>
      </w:r>
      <w:proofErr w:type="spellStart"/>
      <w:r w:rsidRPr="003F6340">
        <w:rPr>
          <w:rFonts w:ascii="Century Schoolbook" w:hAnsi="Century Schoolbook"/>
          <w:sz w:val="22"/>
          <w:szCs w:val="22"/>
          <w:lang w:val="en-GB"/>
        </w:rPr>
        <w:t>micronucleated</w:t>
      </w:r>
      <w:proofErr w:type="spellEnd"/>
      <w:r w:rsidRPr="003F6340">
        <w:rPr>
          <w:rFonts w:ascii="Century Schoolbook" w:hAnsi="Century Schoolbook"/>
          <w:sz w:val="22"/>
          <w:szCs w:val="22"/>
          <w:lang w:val="en-GB"/>
        </w:rPr>
        <w:t xml:space="preserve"> bone marrow cells in rodents that do not indicate </w:t>
      </w:r>
      <w:proofErr w:type="spellStart"/>
      <w:r w:rsidRPr="003F6340">
        <w:rPr>
          <w:rFonts w:ascii="Century Schoolbook" w:hAnsi="Century Schoolbook"/>
          <w:sz w:val="22"/>
          <w:szCs w:val="22"/>
          <w:lang w:val="en-GB"/>
        </w:rPr>
        <w:t>genotoxic</w:t>
      </w:r>
      <w:proofErr w:type="spellEnd"/>
      <w:r w:rsidRPr="003F6340">
        <w:rPr>
          <w:rFonts w:ascii="Century Schoolbook" w:hAnsi="Century Schoolbook"/>
          <w:sz w:val="22"/>
          <w:szCs w:val="22"/>
          <w:lang w:val="en-GB"/>
        </w:rPr>
        <w:t xml:space="preserve"> hazards. </w:t>
      </w:r>
      <w:proofErr w:type="spellStart"/>
      <w:r w:rsidRPr="003F6340">
        <w:rPr>
          <w:rFonts w:ascii="Century Schoolbook" w:hAnsi="Century Schoolbook"/>
          <w:iCs/>
          <w:sz w:val="22"/>
          <w:szCs w:val="22"/>
          <w:lang w:val="en-GB"/>
        </w:rPr>
        <w:t>Mutat</w:t>
      </w:r>
      <w:proofErr w:type="spellEnd"/>
      <w:r w:rsidRPr="003F6340">
        <w:rPr>
          <w:rFonts w:ascii="Century Schoolbook" w:hAnsi="Century Schoolbook"/>
          <w:iCs/>
          <w:sz w:val="22"/>
          <w:szCs w:val="22"/>
          <w:lang w:val="en-GB"/>
        </w:rPr>
        <w:t xml:space="preserve"> </w:t>
      </w:r>
      <w:proofErr w:type="spellStart"/>
      <w:r w:rsidRPr="003F6340">
        <w:rPr>
          <w:rFonts w:ascii="Century Schoolbook" w:hAnsi="Century Schoolbook"/>
          <w:iCs/>
          <w:sz w:val="22"/>
          <w:szCs w:val="22"/>
          <w:lang w:val="en-GB"/>
        </w:rPr>
        <w:t>Res</w:t>
      </w:r>
      <w:proofErr w:type="spellEnd"/>
      <w:r w:rsidRPr="003F6340">
        <w:rPr>
          <w:rFonts w:ascii="Century Schoolbook" w:hAnsi="Century Schoolbook"/>
          <w:iCs/>
          <w:sz w:val="22"/>
          <w:szCs w:val="22"/>
          <w:lang w:val="en-GB"/>
        </w:rPr>
        <w:t xml:space="preserve"> </w:t>
      </w:r>
      <w:r w:rsidRPr="003F6340">
        <w:rPr>
          <w:rFonts w:ascii="Century Schoolbook" w:hAnsi="Century Schoolbook"/>
          <w:sz w:val="22"/>
          <w:szCs w:val="22"/>
          <w:lang w:val="en-GB"/>
        </w:rPr>
        <w:t>2007</w:t>
      </w:r>
      <w:proofErr w:type="gramStart"/>
      <w:r w:rsidRPr="003F6340">
        <w:rPr>
          <w:rFonts w:ascii="Century Schoolbook" w:hAnsi="Century Schoolbook"/>
          <w:sz w:val="22"/>
          <w:szCs w:val="22"/>
          <w:lang w:val="en-GB"/>
        </w:rPr>
        <w:t>;627:78</w:t>
      </w:r>
      <w:proofErr w:type="gramEnd"/>
      <w:r w:rsidRPr="003F6340">
        <w:rPr>
          <w:rFonts w:ascii="Century Schoolbook" w:hAnsi="Century Schoolbook"/>
          <w:sz w:val="22"/>
          <w:szCs w:val="22"/>
          <w:lang w:val="en-GB"/>
        </w:rPr>
        <w:t>-91.</w:t>
      </w:r>
    </w:p>
    <w:p w:rsidR="003F6340" w:rsidRPr="003F6340" w:rsidRDefault="003F6340" w:rsidP="003F6340">
      <w:pPr>
        <w:widowControl/>
        <w:ind w:leftChars="-3" w:left="2" w:hangingChars="4" w:hanging="9"/>
        <w:rPr>
          <w:rFonts w:ascii="Century Schoolbook" w:hAnsi="Century Schoolbook"/>
          <w:sz w:val="22"/>
          <w:szCs w:val="22"/>
          <w:lang w:val="en-GB"/>
        </w:rPr>
      </w:pPr>
    </w:p>
    <w:p w:rsidR="003F6340" w:rsidRPr="003F6340" w:rsidRDefault="003F6340" w:rsidP="003F6340">
      <w:pPr>
        <w:widowControl/>
        <w:ind w:leftChars="-3" w:left="2" w:hangingChars="4" w:hanging="9"/>
        <w:rPr>
          <w:rFonts w:ascii="Century Schoolbook" w:hAnsi="Century Schoolbook"/>
          <w:sz w:val="22"/>
          <w:szCs w:val="22"/>
          <w:lang w:val="en-GB"/>
        </w:rPr>
      </w:pPr>
      <w:proofErr w:type="spellStart"/>
      <w:r w:rsidRPr="003F6340">
        <w:rPr>
          <w:rFonts w:ascii="Century Schoolbook" w:hAnsi="Century Schoolbook"/>
          <w:sz w:val="22"/>
          <w:szCs w:val="22"/>
          <w:lang w:val="en-GB"/>
        </w:rPr>
        <w:t>Tweats</w:t>
      </w:r>
      <w:proofErr w:type="spellEnd"/>
      <w:r w:rsidRPr="003F6340">
        <w:rPr>
          <w:rFonts w:ascii="Century Schoolbook" w:hAnsi="Century Schoolbook"/>
          <w:sz w:val="22"/>
          <w:szCs w:val="22"/>
          <w:lang w:val="en-GB"/>
        </w:rPr>
        <w:t xml:space="preserve"> DJ, </w:t>
      </w:r>
      <w:proofErr w:type="spellStart"/>
      <w:r w:rsidRPr="003F6340">
        <w:rPr>
          <w:rFonts w:ascii="Century Schoolbook" w:hAnsi="Century Schoolbook"/>
          <w:sz w:val="22"/>
          <w:szCs w:val="22"/>
          <w:lang w:val="en-GB"/>
        </w:rPr>
        <w:t>Blakey</w:t>
      </w:r>
      <w:proofErr w:type="spellEnd"/>
      <w:r w:rsidRPr="003F6340">
        <w:rPr>
          <w:rFonts w:ascii="Century Schoolbook" w:hAnsi="Century Schoolbook"/>
          <w:sz w:val="22"/>
          <w:szCs w:val="22"/>
          <w:lang w:val="en-GB"/>
        </w:rPr>
        <w:t xml:space="preserve"> D, </w:t>
      </w:r>
      <w:proofErr w:type="spellStart"/>
      <w:r w:rsidRPr="003F6340">
        <w:rPr>
          <w:rFonts w:ascii="Century Schoolbook" w:hAnsi="Century Schoolbook"/>
          <w:sz w:val="22"/>
          <w:szCs w:val="22"/>
          <w:lang w:val="en-GB"/>
        </w:rPr>
        <w:t>Heflich</w:t>
      </w:r>
      <w:proofErr w:type="spellEnd"/>
      <w:r w:rsidRPr="003F6340">
        <w:rPr>
          <w:rFonts w:ascii="Century Schoolbook" w:hAnsi="Century Schoolbook"/>
          <w:sz w:val="22"/>
          <w:szCs w:val="22"/>
          <w:lang w:val="en-GB"/>
        </w:rPr>
        <w:t xml:space="preserve"> RH, Jacobs A, Jacobsen SD, Morita T et al. Report of the IWGT working group on strategy/interpretation of regulatory </w:t>
      </w:r>
      <w:r w:rsidRPr="003F6340">
        <w:rPr>
          <w:rFonts w:ascii="Century Schoolbook" w:hAnsi="Century Schoolbook"/>
          <w:i/>
          <w:iCs/>
          <w:sz w:val="22"/>
          <w:szCs w:val="22"/>
          <w:lang w:val="en-GB"/>
        </w:rPr>
        <w:t>in vivo</w:t>
      </w:r>
      <w:r w:rsidRPr="003F6340">
        <w:rPr>
          <w:rFonts w:ascii="Century Schoolbook" w:hAnsi="Century Schoolbook"/>
          <w:sz w:val="22"/>
          <w:szCs w:val="22"/>
          <w:lang w:val="en-GB"/>
        </w:rPr>
        <w:t xml:space="preserve"> tests. II. Identification of </w:t>
      </w:r>
      <w:r w:rsidRPr="003F6340">
        <w:rPr>
          <w:rFonts w:ascii="Century Schoolbook" w:hAnsi="Century Schoolbook"/>
          <w:i/>
          <w:sz w:val="22"/>
          <w:szCs w:val="22"/>
          <w:lang w:val="en-GB"/>
        </w:rPr>
        <w:t>in vivo</w:t>
      </w:r>
      <w:r w:rsidRPr="003F6340">
        <w:rPr>
          <w:rFonts w:ascii="Century Schoolbook" w:hAnsi="Century Schoolbook"/>
          <w:sz w:val="22"/>
          <w:szCs w:val="22"/>
          <w:lang w:val="en-GB"/>
        </w:rPr>
        <w:t xml:space="preserve">-only positive compounds in the bone marrow micronucleus test. </w:t>
      </w:r>
      <w:proofErr w:type="spellStart"/>
      <w:r w:rsidRPr="003F6340">
        <w:rPr>
          <w:rFonts w:ascii="Century Schoolbook" w:hAnsi="Century Schoolbook"/>
          <w:iCs/>
          <w:sz w:val="22"/>
          <w:szCs w:val="22"/>
          <w:lang w:val="en-GB"/>
        </w:rPr>
        <w:t>Mutat</w:t>
      </w:r>
      <w:proofErr w:type="spellEnd"/>
      <w:r w:rsidRPr="003F6340">
        <w:rPr>
          <w:rFonts w:ascii="Century Schoolbook" w:hAnsi="Century Schoolbook"/>
          <w:iCs/>
          <w:sz w:val="22"/>
          <w:szCs w:val="22"/>
          <w:lang w:val="en-GB"/>
        </w:rPr>
        <w:t xml:space="preserve"> </w:t>
      </w:r>
      <w:proofErr w:type="spellStart"/>
      <w:r w:rsidRPr="003F6340">
        <w:rPr>
          <w:rFonts w:ascii="Century Schoolbook" w:hAnsi="Century Schoolbook"/>
          <w:iCs/>
          <w:sz w:val="22"/>
          <w:szCs w:val="22"/>
          <w:lang w:val="en-GB"/>
        </w:rPr>
        <w:t>Res</w:t>
      </w:r>
      <w:proofErr w:type="spellEnd"/>
      <w:r w:rsidRPr="003F6340">
        <w:rPr>
          <w:rFonts w:ascii="Century Schoolbook" w:hAnsi="Century Schoolbook"/>
          <w:sz w:val="22"/>
          <w:szCs w:val="22"/>
          <w:lang w:val="en-GB"/>
        </w:rPr>
        <w:t xml:space="preserve"> 2007</w:t>
      </w:r>
      <w:proofErr w:type="gramStart"/>
      <w:r w:rsidRPr="003F6340">
        <w:rPr>
          <w:rFonts w:ascii="Century Schoolbook" w:hAnsi="Century Schoolbook"/>
          <w:sz w:val="22"/>
          <w:szCs w:val="22"/>
          <w:lang w:val="en-GB"/>
        </w:rPr>
        <w:t>;627:92</w:t>
      </w:r>
      <w:proofErr w:type="gramEnd"/>
      <w:r w:rsidRPr="003F6340">
        <w:rPr>
          <w:rFonts w:ascii="Century Schoolbook" w:hAnsi="Century Schoolbook"/>
          <w:sz w:val="22"/>
          <w:szCs w:val="22"/>
          <w:lang w:val="en-GB"/>
        </w:rPr>
        <w:t>-105.</w:t>
      </w:r>
    </w:p>
    <w:p w:rsidR="001D26BE" w:rsidRPr="003F6340" w:rsidRDefault="001D26BE" w:rsidP="003F6340">
      <w:pPr>
        <w:widowControl/>
        <w:ind w:leftChars="-3" w:left="2" w:hangingChars="4" w:hanging="9"/>
        <w:rPr>
          <w:rFonts w:ascii="Century Schoolbook" w:hAnsi="Century Schoolbook"/>
          <w:sz w:val="22"/>
          <w:szCs w:val="22"/>
          <w:lang w:val="en-GB"/>
        </w:rPr>
      </w:pPr>
    </w:p>
    <w:p w:rsidR="001D26BE" w:rsidRPr="003F6340" w:rsidRDefault="003F6340" w:rsidP="003F6340">
      <w:pPr>
        <w:pStyle w:val="hs"/>
        <w:tabs>
          <w:tab w:val="clear" w:pos="426"/>
          <w:tab w:val="left" w:pos="0"/>
        </w:tabs>
        <w:spacing w:after="0"/>
        <w:rPr>
          <w:rFonts w:ascii="Century Schoolbook" w:hAnsi="Century Schoolbook"/>
          <w:b w:val="0"/>
          <w:color w:val="000000"/>
          <w:kern w:val="2"/>
          <w:sz w:val="22"/>
          <w:szCs w:val="22"/>
          <w:lang w:val="en-GB" w:eastAsia="ja-JP"/>
        </w:rPr>
      </w:pPr>
      <w:proofErr w:type="spellStart"/>
      <w:r w:rsidRPr="003F6340">
        <w:rPr>
          <w:rFonts w:ascii="Century Schoolbook" w:hAnsi="Century Schoolbook"/>
          <w:b w:val="0"/>
          <w:color w:val="000000"/>
          <w:kern w:val="2"/>
          <w:sz w:val="22"/>
          <w:szCs w:val="22"/>
          <w:lang w:val="en-GB" w:eastAsia="ja-JP"/>
        </w:rPr>
        <w:t>Wakata</w:t>
      </w:r>
      <w:proofErr w:type="spellEnd"/>
      <w:r w:rsidRPr="003F6340">
        <w:rPr>
          <w:rFonts w:ascii="Century Schoolbook" w:hAnsi="Century Schoolbook"/>
          <w:b w:val="0"/>
          <w:color w:val="000000"/>
          <w:kern w:val="2"/>
          <w:sz w:val="22"/>
          <w:szCs w:val="22"/>
          <w:lang w:val="en-GB" w:eastAsia="ja-JP"/>
        </w:rPr>
        <w:t>, A, Miyamae Y, Sato S, Suzuki T, Morita T, Asano N et al. Evaluation of the rat micronucleus test with bone marrow and peripheral blood: summary of the 9th col</w:t>
      </w:r>
      <w:r w:rsidR="00E934B3">
        <w:rPr>
          <w:rFonts w:ascii="Century Schoolbook" w:hAnsi="Century Schoolbook"/>
          <w:b w:val="0"/>
          <w:color w:val="000000"/>
          <w:kern w:val="2"/>
          <w:sz w:val="22"/>
          <w:szCs w:val="22"/>
          <w:lang w:val="en-GB" w:eastAsia="ja-JP"/>
        </w:rPr>
        <w:t>laborative study by CSGMT/JEMS.</w:t>
      </w:r>
      <w:r w:rsidRPr="003F6340">
        <w:rPr>
          <w:rFonts w:ascii="Century Schoolbook" w:hAnsi="Century Schoolbook"/>
          <w:b w:val="0"/>
          <w:color w:val="000000"/>
          <w:kern w:val="2"/>
          <w:sz w:val="22"/>
          <w:szCs w:val="22"/>
          <w:lang w:val="en-GB" w:eastAsia="ja-JP"/>
        </w:rPr>
        <w:t xml:space="preserve"> </w:t>
      </w:r>
      <w:proofErr w:type="gramStart"/>
      <w:r w:rsidRPr="003F6340">
        <w:rPr>
          <w:rFonts w:ascii="Century Schoolbook" w:hAnsi="Century Schoolbook"/>
          <w:b w:val="0"/>
          <w:color w:val="000000"/>
          <w:kern w:val="2"/>
          <w:sz w:val="22"/>
          <w:szCs w:val="22"/>
          <w:lang w:val="en-GB" w:eastAsia="ja-JP"/>
        </w:rPr>
        <w:t>MMS.</w:t>
      </w:r>
      <w:proofErr w:type="gramEnd"/>
      <w:r w:rsidRPr="003F6340">
        <w:rPr>
          <w:rFonts w:ascii="Century Schoolbook" w:hAnsi="Century Schoolbook"/>
          <w:b w:val="0"/>
          <w:color w:val="000000"/>
          <w:kern w:val="2"/>
          <w:sz w:val="22"/>
          <w:szCs w:val="22"/>
          <w:lang w:val="en-GB" w:eastAsia="ja-JP"/>
        </w:rPr>
        <w:t xml:space="preserve"> Environ Mol </w:t>
      </w:r>
      <w:proofErr w:type="spellStart"/>
      <w:r w:rsidRPr="003F6340">
        <w:rPr>
          <w:rFonts w:ascii="Century Schoolbook" w:hAnsi="Century Schoolbook"/>
          <w:b w:val="0"/>
          <w:color w:val="000000"/>
          <w:kern w:val="2"/>
          <w:sz w:val="22"/>
          <w:szCs w:val="22"/>
          <w:lang w:val="en-GB" w:eastAsia="ja-JP"/>
        </w:rPr>
        <w:t>Mutagen</w:t>
      </w:r>
      <w:proofErr w:type="spellEnd"/>
      <w:r w:rsidRPr="003F6340">
        <w:rPr>
          <w:rFonts w:ascii="Century Schoolbook" w:hAnsi="Century Schoolbook"/>
          <w:b w:val="0"/>
          <w:color w:val="000000"/>
          <w:kern w:val="2"/>
          <w:sz w:val="22"/>
          <w:szCs w:val="22"/>
          <w:lang w:val="en-GB" w:eastAsia="ja-JP"/>
        </w:rPr>
        <w:t xml:space="preserve"> 1998</w:t>
      </w:r>
      <w:proofErr w:type="gramStart"/>
      <w:r w:rsidRPr="003F6340">
        <w:rPr>
          <w:rFonts w:ascii="Century Schoolbook" w:hAnsi="Century Schoolbook"/>
          <w:b w:val="0"/>
          <w:color w:val="000000"/>
          <w:kern w:val="2"/>
          <w:sz w:val="22"/>
          <w:szCs w:val="22"/>
          <w:lang w:val="en-GB" w:eastAsia="ja-JP"/>
        </w:rPr>
        <w:t>;32:84</w:t>
      </w:r>
      <w:proofErr w:type="gramEnd"/>
      <w:r w:rsidRPr="003F6340">
        <w:rPr>
          <w:rFonts w:ascii="Century Schoolbook" w:hAnsi="Century Schoolbook"/>
          <w:b w:val="0"/>
          <w:color w:val="000000"/>
          <w:kern w:val="2"/>
          <w:sz w:val="22"/>
          <w:szCs w:val="22"/>
          <w:lang w:val="en-GB" w:eastAsia="ja-JP"/>
        </w:rPr>
        <w:t>-100.</w:t>
      </w:r>
    </w:p>
    <w:sectPr w:rsidR="001D26BE" w:rsidRPr="003F6340" w:rsidSect="009D2D84">
      <w:headerReference w:type="even" r:id="rId12"/>
      <w:headerReference w:type="default" r:id="rId13"/>
      <w:footerReference w:type="even" r:id="rId14"/>
      <w:footerReference w:type="default" r:id="rId15"/>
      <w:footerReference w:type="first" r:id="rId16"/>
      <w:pgSz w:w="11906" w:h="16838" w:code="9"/>
      <w:pgMar w:top="1411" w:right="1411" w:bottom="1411" w:left="1411" w:header="792" w:footer="792" w:gutter="0"/>
      <w:pgNumType w:start="1"/>
      <w:cols w:space="425"/>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2F3" w:rsidRDefault="008312F3">
      <w:r>
        <w:separator/>
      </w:r>
    </w:p>
  </w:endnote>
  <w:endnote w:type="continuationSeparator" w:id="0">
    <w:p w:rsidR="008312F3" w:rsidRDefault="008312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MS PGothic">
    <w:altName w:val="Arial Unicode MS"/>
    <w:charset w:val="80"/>
    <w:family w:val="swiss"/>
    <w:pitch w:val="variable"/>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2F3" w:rsidRDefault="008312F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2F3" w:rsidRDefault="00800FBA" w:rsidP="00E52DB4">
    <w:pPr>
      <w:pStyle w:val="Footer"/>
      <w:jc w:val="center"/>
    </w:pPr>
    <w:fldSimple w:instr=" PAGE   \* MERGEFORMAT ">
      <w:r w:rsidR="00945203">
        <w:rPr>
          <w:noProof/>
        </w:rPr>
        <w:t>ii</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2F3" w:rsidRDefault="00800FBA" w:rsidP="00E52DB4">
    <w:pPr>
      <w:pStyle w:val="Footer"/>
      <w:jc w:val="center"/>
    </w:pPr>
    <w:fldSimple w:instr=" PAGE   \* MERGEFORMAT ">
      <w:r w:rsidR="00945203">
        <w:rPr>
          <w:noProof/>
        </w:rPr>
        <w:t>i</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2F3" w:rsidRDefault="00800FBA" w:rsidP="006C6868">
    <w:pPr>
      <w:pStyle w:val="Footer"/>
      <w:jc w:val="center"/>
    </w:pPr>
    <w:fldSimple w:instr=" PAGE   \* MERGEFORMAT ">
      <w:r w:rsidR="00945203">
        <w:rPr>
          <w:noProof/>
        </w:rPr>
        <w:t>14</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2F3" w:rsidRPr="006C6868" w:rsidRDefault="00800FBA" w:rsidP="00A677A3">
    <w:pPr>
      <w:pStyle w:val="Footer"/>
      <w:jc w:val="center"/>
    </w:pPr>
    <w:fldSimple w:instr=" PAGE   \* MERGEFORMAT ">
      <w:r w:rsidR="00945203">
        <w:rPr>
          <w:noProof/>
        </w:rPr>
        <w:t>15</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2F3" w:rsidRPr="009D2D84" w:rsidRDefault="00800FBA" w:rsidP="009D2D84">
    <w:pPr>
      <w:pStyle w:val="Footer"/>
      <w:jc w:val="center"/>
    </w:pPr>
    <w:fldSimple w:instr=" PAGE   \* MERGEFORMAT ">
      <w:r w:rsidR="00945203">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2F3" w:rsidRDefault="008312F3">
      <w:r>
        <w:separator/>
      </w:r>
    </w:p>
  </w:footnote>
  <w:footnote w:type="continuationSeparator" w:id="0">
    <w:p w:rsidR="008312F3" w:rsidRDefault="008312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2F3" w:rsidRPr="00E52DB4" w:rsidRDefault="008312F3" w:rsidP="00E52DB4">
    <w:pPr>
      <w:pStyle w:val="Header"/>
      <w:pBdr>
        <w:bottom w:val="single" w:sz="4" w:space="1" w:color="auto"/>
      </w:pBdr>
      <w:jc w:val="left"/>
      <w:rPr>
        <w:rFonts w:ascii="Century Schoolbook" w:hAnsi="Century Schoolbook"/>
        <w:i/>
        <w:sz w:val="20"/>
        <w:szCs w:val="20"/>
      </w:rPr>
    </w:pPr>
    <w:r w:rsidRPr="00E52DB4">
      <w:rPr>
        <w:rFonts w:ascii="Century Schoolbook" w:hAnsi="Century Schoolbook"/>
        <w:i/>
        <w:sz w:val="20"/>
        <w:szCs w:val="20"/>
      </w:rPr>
      <w:t xml:space="preserve">Guidance on </w:t>
    </w:r>
    <w:proofErr w:type="spellStart"/>
    <w:r w:rsidRPr="00E52DB4">
      <w:rPr>
        <w:rFonts w:ascii="Century Schoolbook" w:hAnsi="Century Schoolbook"/>
        <w:i/>
        <w:sz w:val="20"/>
        <w:szCs w:val="20"/>
      </w:rPr>
      <w:t>Genotoxicity</w:t>
    </w:r>
    <w:proofErr w:type="spellEnd"/>
    <w:r w:rsidRPr="00E52DB4">
      <w:rPr>
        <w:rFonts w:ascii="Century Schoolbook" w:hAnsi="Century Schoolbook"/>
        <w:i/>
        <w:sz w:val="20"/>
        <w:szCs w:val="20"/>
      </w:rPr>
      <w:t xml:space="preserve"> Testing and </w:t>
    </w:r>
    <w:r w:rsidRPr="00E52DB4">
      <w:rPr>
        <w:rFonts w:ascii="Century Schoolbook" w:hAnsi="Century Schoolbook"/>
        <w:i/>
        <w:sz w:val="20"/>
        <w:szCs w:val="20"/>
      </w:rPr>
      <w:br/>
      <w:t>Data Interpretation for Pharmaceuticals Intended for Human Use</w:t>
    </w:r>
  </w:p>
  <w:p w:rsidR="008312F3" w:rsidRDefault="008312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2F3" w:rsidRPr="00E52DB4" w:rsidRDefault="008312F3" w:rsidP="00E52DB4">
    <w:pPr>
      <w:pStyle w:val="Header"/>
      <w:pBdr>
        <w:bottom w:val="single" w:sz="4" w:space="1" w:color="auto"/>
      </w:pBdr>
      <w:jc w:val="right"/>
      <w:rPr>
        <w:rFonts w:ascii="Century Schoolbook" w:hAnsi="Century Schoolbook"/>
        <w:i/>
        <w:sz w:val="20"/>
        <w:szCs w:val="20"/>
      </w:rPr>
    </w:pPr>
    <w:r w:rsidRPr="00E52DB4">
      <w:rPr>
        <w:rFonts w:ascii="Century Schoolbook" w:hAnsi="Century Schoolbook"/>
        <w:i/>
        <w:sz w:val="20"/>
        <w:szCs w:val="20"/>
      </w:rPr>
      <w:t xml:space="preserve">Guidance on </w:t>
    </w:r>
    <w:proofErr w:type="spellStart"/>
    <w:r w:rsidRPr="00E52DB4">
      <w:rPr>
        <w:rFonts w:ascii="Century Schoolbook" w:hAnsi="Century Schoolbook"/>
        <w:i/>
        <w:sz w:val="20"/>
        <w:szCs w:val="20"/>
      </w:rPr>
      <w:t>Genotoxicity</w:t>
    </w:r>
    <w:proofErr w:type="spellEnd"/>
    <w:r w:rsidRPr="00E52DB4">
      <w:rPr>
        <w:rFonts w:ascii="Century Schoolbook" w:hAnsi="Century Schoolbook"/>
        <w:i/>
        <w:sz w:val="20"/>
        <w:szCs w:val="20"/>
      </w:rPr>
      <w:t xml:space="preserve"> Testing and </w:t>
    </w:r>
    <w:r w:rsidRPr="00E52DB4">
      <w:rPr>
        <w:rFonts w:ascii="Century Schoolbook" w:hAnsi="Century Schoolbook"/>
        <w:i/>
        <w:sz w:val="20"/>
        <w:szCs w:val="20"/>
      </w:rPr>
      <w:br/>
      <w:t>Data Interpretation for Pharmaceuticals Intended for Human Use</w:t>
    </w:r>
  </w:p>
  <w:p w:rsidR="008312F3" w:rsidRDefault="008312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23C2D"/>
    <w:multiLevelType w:val="multilevel"/>
    <w:tmpl w:val="E1EEE35E"/>
    <w:lvl w:ilvl="0">
      <w:start w:val="3"/>
      <w:numFmt w:val="decimal"/>
      <w:lvlText w:val="%1."/>
      <w:lvlJc w:val="left"/>
      <w:pPr>
        <w:ind w:left="720" w:hanging="360"/>
      </w:pPr>
      <w:rPr>
        <w:rFonts w:hint="default"/>
      </w:rPr>
    </w:lvl>
    <w:lvl w:ilvl="1">
      <w:start w:val="1"/>
      <w:numFmt w:val="decimal"/>
      <w:isLgl/>
      <w:lvlText w:val="%1.%2"/>
      <w:lvlJc w:val="left"/>
      <w:pPr>
        <w:ind w:left="1200" w:hanging="840"/>
      </w:pPr>
      <w:rPr>
        <w:rFonts w:hint="default"/>
      </w:rPr>
    </w:lvl>
    <w:lvl w:ilvl="2">
      <w:start w:val="1"/>
      <w:numFmt w:val="decimal"/>
      <w:isLgl/>
      <w:lvlText w:val="%1.%2.%3"/>
      <w:lvlJc w:val="left"/>
      <w:pPr>
        <w:ind w:left="1200" w:hanging="8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3CA0CA0"/>
    <w:multiLevelType w:val="multilevel"/>
    <w:tmpl w:val="E1EEE35E"/>
    <w:lvl w:ilvl="0">
      <w:start w:val="3"/>
      <w:numFmt w:val="decimal"/>
      <w:lvlText w:val="%1."/>
      <w:lvlJc w:val="left"/>
      <w:pPr>
        <w:ind w:left="720" w:hanging="360"/>
      </w:pPr>
      <w:rPr>
        <w:rFonts w:hint="default"/>
      </w:rPr>
    </w:lvl>
    <w:lvl w:ilvl="1">
      <w:start w:val="1"/>
      <w:numFmt w:val="decimal"/>
      <w:isLgl/>
      <w:lvlText w:val="%1.%2"/>
      <w:lvlJc w:val="left"/>
      <w:pPr>
        <w:ind w:left="1200" w:hanging="840"/>
      </w:pPr>
      <w:rPr>
        <w:rFonts w:hint="default"/>
      </w:rPr>
    </w:lvl>
    <w:lvl w:ilvl="2">
      <w:start w:val="1"/>
      <w:numFmt w:val="decimal"/>
      <w:isLgl/>
      <w:lvlText w:val="%1.%2.%3"/>
      <w:lvlJc w:val="left"/>
      <w:pPr>
        <w:ind w:left="1200" w:hanging="8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74F226E"/>
    <w:multiLevelType w:val="hybridMultilevel"/>
    <w:tmpl w:val="011E2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355AA5"/>
    <w:multiLevelType w:val="multilevel"/>
    <w:tmpl w:val="E1EEE35E"/>
    <w:lvl w:ilvl="0">
      <w:start w:val="3"/>
      <w:numFmt w:val="decimal"/>
      <w:lvlText w:val="%1."/>
      <w:lvlJc w:val="left"/>
      <w:pPr>
        <w:ind w:left="720" w:hanging="360"/>
      </w:pPr>
      <w:rPr>
        <w:rFonts w:hint="default"/>
      </w:rPr>
    </w:lvl>
    <w:lvl w:ilvl="1">
      <w:start w:val="1"/>
      <w:numFmt w:val="decimal"/>
      <w:isLgl/>
      <w:lvlText w:val="%1.%2"/>
      <w:lvlJc w:val="left"/>
      <w:pPr>
        <w:ind w:left="1380" w:hanging="840"/>
      </w:pPr>
      <w:rPr>
        <w:rFonts w:hint="default"/>
      </w:rPr>
    </w:lvl>
    <w:lvl w:ilvl="2">
      <w:start w:val="1"/>
      <w:numFmt w:val="decimal"/>
      <w:isLgl/>
      <w:lvlText w:val="%1.%2.%3"/>
      <w:lvlJc w:val="left"/>
      <w:pPr>
        <w:ind w:left="1200" w:hanging="8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18015E7"/>
    <w:multiLevelType w:val="multilevel"/>
    <w:tmpl w:val="571E74CC"/>
    <w:lvl w:ilvl="0">
      <w:start w:val="6"/>
      <w:numFmt w:val="decimal"/>
      <w:lvlText w:val="%1."/>
      <w:lvlJc w:val="left"/>
      <w:pPr>
        <w:ind w:left="360" w:hanging="360"/>
      </w:pPr>
      <w:rPr>
        <w:rFonts w:hint="default"/>
      </w:rPr>
    </w:lvl>
    <w:lvl w:ilvl="1">
      <w:start w:val="5"/>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E667CB"/>
    <w:multiLevelType w:val="multilevel"/>
    <w:tmpl w:val="E1EEE35E"/>
    <w:lvl w:ilvl="0">
      <w:start w:val="3"/>
      <w:numFmt w:val="decimal"/>
      <w:lvlText w:val="%1."/>
      <w:lvlJc w:val="left"/>
      <w:pPr>
        <w:ind w:left="720" w:hanging="360"/>
      </w:pPr>
      <w:rPr>
        <w:rFonts w:hint="default"/>
      </w:rPr>
    </w:lvl>
    <w:lvl w:ilvl="1">
      <w:start w:val="1"/>
      <w:numFmt w:val="decimal"/>
      <w:isLgl/>
      <w:lvlText w:val="%1.%2"/>
      <w:lvlJc w:val="left"/>
      <w:pPr>
        <w:ind w:left="1200" w:hanging="840"/>
      </w:pPr>
      <w:rPr>
        <w:rFonts w:hint="default"/>
      </w:rPr>
    </w:lvl>
    <w:lvl w:ilvl="2">
      <w:start w:val="1"/>
      <w:numFmt w:val="decimal"/>
      <w:isLgl/>
      <w:lvlText w:val="%1.%2.%3"/>
      <w:lvlJc w:val="left"/>
      <w:pPr>
        <w:ind w:left="1200" w:hanging="8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12EC2D6B"/>
    <w:multiLevelType w:val="multilevel"/>
    <w:tmpl w:val="26840A30"/>
    <w:lvl w:ilvl="0">
      <w:start w:val="5"/>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460673E"/>
    <w:multiLevelType w:val="multilevel"/>
    <w:tmpl w:val="0226C3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E85C9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F314A06"/>
    <w:multiLevelType w:val="multilevel"/>
    <w:tmpl w:val="FD2641A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10">
    <w:nsid w:val="24E35813"/>
    <w:multiLevelType w:val="multilevel"/>
    <w:tmpl w:val="C35AD92E"/>
    <w:lvl w:ilvl="0">
      <w:start w:val="1"/>
      <w:numFmt w:val="decimal"/>
      <w:lvlText w:val="%1."/>
      <w:lvlJc w:val="left"/>
      <w:pPr>
        <w:ind w:left="720" w:hanging="360"/>
      </w:pPr>
      <w:rPr>
        <w:rFonts w:hint="default"/>
      </w:rPr>
    </w:lvl>
    <w:lvl w:ilvl="1">
      <w:start w:val="3"/>
      <w:numFmt w:val="none"/>
      <w:isLgl/>
      <w:lvlText w:val="5.2"/>
      <w:lvlJc w:val="left"/>
      <w:pPr>
        <w:ind w:left="1200" w:hanging="840"/>
      </w:pPr>
      <w:rPr>
        <w:rFonts w:hint="default"/>
      </w:rPr>
    </w:lvl>
    <w:lvl w:ilvl="2">
      <w:start w:val="1"/>
      <w:numFmt w:val="decimal"/>
      <w:isLgl/>
      <w:lvlText w:val="%1.%2.%3"/>
      <w:lvlJc w:val="left"/>
      <w:pPr>
        <w:ind w:left="1200" w:hanging="8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68861DF"/>
    <w:multiLevelType w:val="multilevel"/>
    <w:tmpl w:val="482E979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92A7960"/>
    <w:multiLevelType w:val="hybridMultilevel"/>
    <w:tmpl w:val="AC12B578"/>
    <w:lvl w:ilvl="0" w:tplc="0409001B">
      <w:start w:val="1"/>
      <w:numFmt w:val="lowerRoman"/>
      <w:lvlText w:val="%1."/>
      <w:lvlJc w:val="right"/>
      <w:pPr>
        <w:tabs>
          <w:tab w:val="num" w:pos="720"/>
        </w:tabs>
        <w:ind w:left="720" w:hanging="360"/>
      </w:pPr>
      <w:rPr>
        <w:rFonts w:cs="Times New Roman"/>
      </w:rPr>
    </w:lvl>
    <w:lvl w:ilvl="1" w:tplc="F018734C">
      <w:start w:val="1"/>
      <w:numFmt w:val="lowerRoman"/>
      <w:lvlText w:val="%2."/>
      <w:lvlJc w:val="left"/>
      <w:pPr>
        <w:tabs>
          <w:tab w:val="num" w:pos="1260"/>
        </w:tabs>
        <w:ind w:left="1260" w:hanging="180"/>
      </w:pPr>
      <w:rPr>
        <w:rFonts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9444F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9597EA9"/>
    <w:multiLevelType w:val="multilevel"/>
    <w:tmpl w:val="B90A59C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DAA034A"/>
    <w:multiLevelType w:val="multilevel"/>
    <w:tmpl w:val="84FE985E"/>
    <w:lvl w:ilvl="0">
      <w:start w:val="1"/>
      <w:numFmt w:val="decimal"/>
      <w:lvlText w:val="%1."/>
      <w:lvlJc w:val="left"/>
      <w:pPr>
        <w:ind w:left="720" w:hanging="360"/>
      </w:pPr>
      <w:rPr>
        <w:rFonts w:hint="default"/>
      </w:rPr>
    </w:lvl>
    <w:lvl w:ilvl="1">
      <w:start w:val="1"/>
      <w:numFmt w:val="decimal"/>
      <w:isLgl/>
      <w:lvlText w:val="%1.%2"/>
      <w:lvlJc w:val="left"/>
      <w:pPr>
        <w:ind w:left="1200" w:hanging="840"/>
      </w:pPr>
      <w:rPr>
        <w:rFonts w:hint="default"/>
      </w:rPr>
    </w:lvl>
    <w:lvl w:ilvl="2">
      <w:start w:val="1"/>
      <w:numFmt w:val="decimal"/>
      <w:isLgl/>
      <w:lvlText w:val="%1.%2.%3"/>
      <w:lvlJc w:val="left"/>
      <w:pPr>
        <w:ind w:left="1200" w:hanging="8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2E10598D"/>
    <w:multiLevelType w:val="multilevel"/>
    <w:tmpl w:val="A100E7A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8500DC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96A66C3"/>
    <w:multiLevelType w:val="hybridMultilevel"/>
    <w:tmpl w:val="FF8A13DC"/>
    <w:lvl w:ilvl="0" w:tplc="C70E195A">
      <w:start w:val="1"/>
      <w:numFmt w:val="lowerRoman"/>
      <w:lvlText w:val="%1."/>
      <w:lvlJc w:val="left"/>
      <w:pPr>
        <w:tabs>
          <w:tab w:val="num" w:pos="540"/>
        </w:tabs>
        <w:ind w:left="540" w:hanging="1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B95046E"/>
    <w:multiLevelType w:val="multilevel"/>
    <w:tmpl w:val="CEDC8550"/>
    <w:styleLink w:val="Guidelines"/>
    <w:lvl w:ilvl="0">
      <w:start w:val="1"/>
      <w:numFmt w:val="decimal"/>
      <w:lvlText w:val="%1."/>
      <w:lvlJc w:val="left"/>
      <w:pPr>
        <w:ind w:left="360" w:hanging="360"/>
      </w:pPr>
      <w:rPr>
        <w:rFonts w:ascii="Century Schoolbook" w:hAnsi="Century Schoolbook" w:hint="default"/>
        <w:sz w:val="22"/>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20">
    <w:nsid w:val="3F0602F3"/>
    <w:multiLevelType w:val="hybridMultilevel"/>
    <w:tmpl w:val="033A3618"/>
    <w:lvl w:ilvl="0" w:tplc="0409000F">
      <w:start w:val="1"/>
      <w:numFmt w:val="decimal"/>
      <w:lvlText w:val="%1."/>
      <w:lvlJc w:val="left"/>
      <w:pPr>
        <w:tabs>
          <w:tab w:val="num" w:pos="540"/>
        </w:tabs>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D47A62"/>
    <w:multiLevelType w:val="hybridMultilevel"/>
    <w:tmpl w:val="C728FA88"/>
    <w:lvl w:ilvl="0" w:tplc="1548AC2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1A6CF1"/>
    <w:multiLevelType w:val="multilevel"/>
    <w:tmpl w:val="1462464C"/>
    <w:lvl w:ilvl="0">
      <w:start w:val="1"/>
      <w:numFmt w:val="decimal"/>
      <w:lvlText w:val="%1."/>
      <w:lvlJc w:val="left"/>
      <w:pPr>
        <w:ind w:left="720" w:hanging="720"/>
      </w:pPr>
      <w:rPr>
        <w:rFonts w:ascii="Century Schoolbook" w:hAnsi="Century Schoolbook" w:hint="default"/>
        <w:sz w:val="22"/>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23">
    <w:nsid w:val="4DC70DFD"/>
    <w:multiLevelType w:val="multilevel"/>
    <w:tmpl w:val="A100E7A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E280E6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42F5853"/>
    <w:multiLevelType w:val="multilevel"/>
    <w:tmpl w:val="B8508572"/>
    <w:lvl w:ilvl="0">
      <w:start w:val="1"/>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26">
    <w:nsid w:val="559F06D8"/>
    <w:multiLevelType w:val="multilevel"/>
    <w:tmpl w:val="7592C242"/>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27">
    <w:nsid w:val="57186E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89E61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9223DA7"/>
    <w:multiLevelType w:val="hybridMultilevel"/>
    <w:tmpl w:val="033A3618"/>
    <w:lvl w:ilvl="0" w:tplc="0409000F">
      <w:start w:val="1"/>
      <w:numFmt w:val="decimal"/>
      <w:lvlText w:val="%1."/>
      <w:lvlJc w:val="left"/>
      <w:pPr>
        <w:tabs>
          <w:tab w:val="num" w:pos="540"/>
        </w:tabs>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BA6575"/>
    <w:multiLevelType w:val="hybridMultilevel"/>
    <w:tmpl w:val="F02453F8"/>
    <w:lvl w:ilvl="0" w:tplc="AF3AC182">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5F12FF"/>
    <w:multiLevelType w:val="hybridMultilevel"/>
    <w:tmpl w:val="021AFAC2"/>
    <w:lvl w:ilvl="0" w:tplc="AF3AC182">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F068C8"/>
    <w:multiLevelType w:val="multilevel"/>
    <w:tmpl w:val="BA32AEFC"/>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E70646"/>
    <w:multiLevelType w:val="multilevel"/>
    <w:tmpl w:val="F28A1D30"/>
    <w:lvl w:ilvl="0">
      <w:start w:val="1"/>
      <w:numFmt w:val="lowerRoman"/>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34">
    <w:nsid w:val="69646FA4"/>
    <w:multiLevelType w:val="multilevel"/>
    <w:tmpl w:val="555E8A50"/>
    <w:lvl w:ilvl="0">
      <w:start w:val="1"/>
      <w:numFmt w:val="lowerRoman"/>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35">
    <w:nsid w:val="6AD30152"/>
    <w:multiLevelType w:val="hybridMultilevel"/>
    <w:tmpl w:val="E0223584"/>
    <w:lvl w:ilvl="0" w:tplc="B13CE82E">
      <w:start w:val="1"/>
      <w:numFmt w:val="lowerRoman"/>
      <w:lvlText w:val="%1."/>
      <w:lvlJc w:val="left"/>
      <w:pPr>
        <w:tabs>
          <w:tab w:val="num" w:pos="540"/>
        </w:tabs>
        <w:ind w:left="540" w:hanging="1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6F306725"/>
    <w:multiLevelType w:val="multilevel"/>
    <w:tmpl w:val="E1EEE35E"/>
    <w:lvl w:ilvl="0">
      <w:start w:val="3"/>
      <w:numFmt w:val="decimal"/>
      <w:lvlText w:val="%1."/>
      <w:lvlJc w:val="left"/>
      <w:pPr>
        <w:ind w:left="1199" w:hanging="360"/>
      </w:pPr>
      <w:rPr>
        <w:rFonts w:hint="default"/>
      </w:rPr>
    </w:lvl>
    <w:lvl w:ilvl="1">
      <w:start w:val="1"/>
      <w:numFmt w:val="decimal"/>
      <w:isLgl/>
      <w:lvlText w:val="%1.%2"/>
      <w:lvlJc w:val="left"/>
      <w:pPr>
        <w:ind w:left="1679" w:hanging="840"/>
      </w:pPr>
      <w:rPr>
        <w:rFonts w:hint="default"/>
      </w:rPr>
    </w:lvl>
    <w:lvl w:ilvl="2">
      <w:start w:val="1"/>
      <w:numFmt w:val="decimal"/>
      <w:isLgl/>
      <w:lvlText w:val="%1.%2.%3"/>
      <w:lvlJc w:val="left"/>
      <w:pPr>
        <w:ind w:left="1679" w:hanging="840"/>
      </w:pPr>
      <w:rPr>
        <w:rFonts w:hint="default"/>
      </w:rPr>
    </w:lvl>
    <w:lvl w:ilvl="3">
      <w:start w:val="1"/>
      <w:numFmt w:val="decimal"/>
      <w:isLgl/>
      <w:lvlText w:val="%1.%2.%3.%4"/>
      <w:lvlJc w:val="left"/>
      <w:pPr>
        <w:ind w:left="1919" w:hanging="1080"/>
      </w:pPr>
      <w:rPr>
        <w:rFonts w:hint="default"/>
      </w:rPr>
    </w:lvl>
    <w:lvl w:ilvl="4">
      <w:start w:val="1"/>
      <w:numFmt w:val="decimal"/>
      <w:isLgl/>
      <w:lvlText w:val="%1.%2.%3.%4.%5"/>
      <w:lvlJc w:val="left"/>
      <w:pPr>
        <w:ind w:left="1919" w:hanging="1080"/>
      </w:pPr>
      <w:rPr>
        <w:rFonts w:hint="default"/>
      </w:rPr>
    </w:lvl>
    <w:lvl w:ilvl="5">
      <w:start w:val="1"/>
      <w:numFmt w:val="decimal"/>
      <w:isLgl/>
      <w:lvlText w:val="%1.%2.%3.%4.%5.%6"/>
      <w:lvlJc w:val="left"/>
      <w:pPr>
        <w:ind w:left="2279" w:hanging="1440"/>
      </w:pPr>
      <w:rPr>
        <w:rFonts w:hint="default"/>
      </w:rPr>
    </w:lvl>
    <w:lvl w:ilvl="6">
      <w:start w:val="1"/>
      <w:numFmt w:val="decimal"/>
      <w:isLgl/>
      <w:lvlText w:val="%1.%2.%3.%4.%5.%6.%7"/>
      <w:lvlJc w:val="left"/>
      <w:pPr>
        <w:ind w:left="2279" w:hanging="1440"/>
      </w:pPr>
      <w:rPr>
        <w:rFonts w:hint="default"/>
      </w:rPr>
    </w:lvl>
    <w:lvl w:ilvl="7">
      <w:start w:val="1"/>
      <w:numFmt w:val="decimal"/>
      <w:isLgl/>
      <w:lvlText w:val="%1.%2.%3.%4.%5.%6.%7.%8"/>
      <w:lvlJc w:val="left"/>
      <w:pPr>
        <w:ind w:left="2639" w:hanging="1800"/>
      </w:pPr>
      <w:rPr>
        <w:rFonts w:hint="default"/>
      </w:rPr>
    </w:lvl>
    <w:lvl w:ilvl="8">
      <w:start w:val="1"/>
      <w:numFmt w:val="decimal"/>
      <w:isLgl/>
      <w:lvlText w:val="%1.%2.%3.%4.%5.%6.%7.%8.%9"/>
      <w:lvlJc w:val="left"/>
      <w:pPr>
        <w:ind w:left="2639" w:hanging="1800"/>
      </w:pPr>
      <w:rPr>
        <w:rFonts w:hint="default"/>
      </w:rPr>
    </w:lvl>
  </w:abstractNum>
  <w:abstractNum w:abstractNumId="37">
    <w:nsid w:val="6F5E3579"/>
    <w:multiLevelType w:val="multilevel"/>
    <w:tmpl w:val="68062F58"/>
    <w:lvl w:ilvl="0">
      <w:start w:val="1"/>
      <w:numFmt w:val="lowerRoman"/>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38">
    <w:nsid w:val="715F18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3711221"/>
    <w:multiLevelType w:val="multilevel"/>
    <w:tmpl w:val="482E979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3F3716A"/>
    <w:multiLevelType w:val="multilevel"/>
    <w:tmpl w:val="EFA8B208"/>
    <w:lvl w:ilvl="0">
      <w:start w:val="2"/>
      <w:numFmt w:val="decimal"/>
      <w:lvlText w:val="%1"/>
      <w:lvlJc w:val="left"/>
      <w:pPr>
        <w:tabs>
          <w:tab w:val="num" w:pos="840"/>
        </w:tabs>
        <w:ind w:left="840" w:hanging="840"/>
      </w:pPr>
      <w:rPr>
        <w:rFonts w:cs="Times New Roman" w:hint="default"/>
      </w:rPr>
    </w:lvl>
    <w:lvl w:ilvl="1">
      <w:start w:val="3"/>
      <w:numFmt w:val="decimal"/>
      <w:lvlText w:val="%1.%2"/>
      <w:lvlJc w:val="left"/>
      <w:pPr>
        <w:tabs>
          <w:tab w:val="num" w:pos="840"/>
        </w:tabs>
        <w:ind w:left="840" w:hanging="840"/>
      </w:pPr>
      <w:rPr>
        <w:rFonts w:cs="Times New Roman" w:hint="default"/>
      </w:rPr>
    </w:lvl>
    <w:lvl w:ilvl="2">
      <w:start w:val="1"/>
      <w:numFmt w:val="decimal"/>
      <w:lvlText w:val="%1.%2.%3"/>
      <w:lvlJc w:val="left"/>
      <w:pPr>
        <w:tabs>
          <w:tab w:val="num" w:pos="840"/>
        </w:tabs>
        <w:ind w:left="840" w:hanging="840"/>
      </w:pPr>
      <w:rPr>
        <w:rFonts w:cs="Times New Roman" w:hint="default"/>
        <w:i/>
      </w:rPr>
    </w:lvl>
    <w:lvl w:ilvl="3">
      <w:start w:val="1"/>
      <w:numFmt w:val="decimal"/>
      <w:lvlText w:val="%1.%2.%3.%4"/>
      <w:lvlJc w:val="left"/>
      <w:pPr>
        <w:tabs>
          <w:tab w:val="num" w:pos="840"/>
        </w:tabs>
        <w:ind w:left="840" w:hanging="84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74A82A35"/>
    <w:multiLevelType w:val="multilevel"/>
    <w:tmpl w:val="EE7E0424"/>
    <w:lvl w:ilvl="0">
      <w:start w:val="1"/>
      <w:numFmt w:val="lowerRoman"/>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42">
    <w:nsid w:val="7C4A63DC"/>
    <w:multiLevelType w:val="hybridMultilevel"/>
    <w:tmpl w:val="50369C8A"/>
    <w:lvl w:ilvl="0" w:tplc="AF3AC182">
      <w:start w:val="1"/>
      <w:numFmt w:val="lowerRoman"/>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3">
    <w:nsid w:val="7C831238"/>
    <w:multiLevelType w:val="hybridMultilevel"/>
    <w:tmpl w:val="13ACEC60"/>
    <w:lvl w:ilvl="0" w:tplc="AF3AC182">
      <w:start w:val="1"/>
      <w:numFmt w:val="lowerRoman"/>
      <w:lvlText w:val="%1."/>
      <w:lvlJc w:val="left"/>
      <w:pPr>
        <w:tabs>
          <w:tab w:val="num" w:pos="540"/>
        </w:tabs>
        <w:ind w:left="540" w:hanging="1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7D4211A4"/>
    <w:multiLevelType w:val="multilevel"/>
    <w:tmpl w:val="48B4B3EC"/>
    <w:lvl w:ilvl="0">
      <w:start w:val="2"/>
      <w:numFmt w:val="decimal"/>
      <w:lvlText w:val="%1."/>
      <w:lvlJc w:val="left"/>
      <w:pPr>
        <w:ind w:left="720" w:hanging="360"/>
      </w:pPr>
      <w:rPr>
        <w:rFonts w:hint="default"/>
      </w:rPr>
    </w:lvl>
    <w:lvl w:ilvl="1">
      <w:start w:val="1"/>
      <w:numFmt w:val="decimal"/>
      <w:isLgl/>
      <w:lvlText w:val="%1.%2"/>
      <w:lvlJc w:val="left"/>
      <w:pPr>
        <w:ind w:left="1200" w:hanging="840"/>
      </w:pPr>
      <w:rPr>
        <w:rFonts w:hint="default"/>
      </w:rPr>
    </w:lvl>
    <w:lvl w:ilvl="2">
      <w:start w:val="1"/>
      <w:numFmt w:val="decimal"/>
      <w:isLgl/>
      <w:lvlText w:val="%1.%2.%3"/>
      <w:lvlJc w:val="left"/>
      <w:pPr>
        <w:ind w:left="1200" w:hanging="8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nsid w:val="7F5B20B7"/>
    <w:multiLevelType w:val="multilevel"/>
    <w:tmpl w:val="E1EEE35E"/>
    <w:lvl w:ilvl="0">
      <w:start w:val="3"/>
      <w:numFmt w:val="decimal"/>
      <w:lvlText w:val="%1."/>
      <w:lvlJc w:val="left"/>
      <w:pPr>
        <w:ind w:left="720" w:hanging="360"/>
      </w:pPr>
      <w:rPr>
        <w:rFonts w:hint="default"/>
      </w:rPr>
    </w:lvl>
    <w:lvl w:ilvl="1">
      <w:start w:val="1"/>
      <w:numFmt w:val="decimal"/>
      <w:isLgl/>
      <w:lvlText w:val="%1.%2"/>
      <w:lvlJc w:val="left"/>
      <w:pPr>
        <w:ind w:left="1200" w:hanging="840"/>
      </w:pPr>
      <w:rPr>
        <w:rFonts w:hint="default"/>
      </w:rPr>
    </w:lvl>
    <w:lvl w:ilvl="2">
      <w:start w:val="1"/>
      <w:numFmt w:val="decimal"/>
      <w:isLgl/>
      <w:lvlText w:val="%1.%2.%3"/>
      <w:lvlJc w:val="left"/>
      <w:pPr>
        <w:ind w:left="1200" w:hanging="8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nsid w:val="7FCD3C25"/>
    <w:multiLevelType w:val="multilevel"/>
    <w:tmpl w:val="571E74CC"/>
    <w:lvl w:ilvl="0">
      <w:start w:val="6"/>
      <w:numFmt w:val="decimal"/>
      <w:lvlText w:val="%1."/>
      <w:lvlJc w:val="left"/>
      <w:pPr>
        <w:ind w:left="360" w:hanging="360"/>
      </w:pPr>
      <w:rPr>
        <w:rFonts w:hint="default"/>
      </w:rPr>
    </w:lvl>
    <w:lvl w:ilvl="1">
      <w:start w:val="5"/>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12"/>
  </w:num>
  <w:num w:numId="3">
    <w:abstractNumId w:val="35"/>
  </w:num>
  <w:num w:numId="4">
    <w:abstractNumId w:val="43"/>
  </w:num>
  <w:num w:numId="5">
    <w:abstractNumId w:val="18"/>
  </w:num>
  <w:num w:numId="6">
    <w:abstractNumId w:val="34"/>
  </w:num>
  <w:num w:numId="7">
    <w:abstractNumId w:val="2"/>
  </w:num>
  <w:num w:numId="8">
    <w:abstractNumId w:val="40"/>
  </w:num>
  <w:num w:numId="9">
    <w:abstractNumId w:val="10"/>
  </w:num>
  <w:num w:numId="10">
    <w:abstractNumId w:val="27"/>
  </w:num>
  <w:num w:numId="11">
    <w:abstractNumId w:val="5"/>
  </w:num>
  <w:num w:numId="12">
    <w:abstractNumId w:val="44"/>
  </w:num>
  <w:num w:numId="13">
    <w:abstractNumId w:val="42"/>
  </w:num>
  <w:num w:numId="14">
    <w:abstractNumId w:val="14"/>
  </w:num>
  <w:num w:numId="15">
    <w:abstractNumId w:val="31"/>
  </w:num>
  <w:num w:numId="16">
    <w:abstractNumId w:val="30"/>
  </w:num>
  <w:num w:numId="17">
    <w:abstractNumId w:val="46"/>
  </w:num>
  <w:num w:numId="18">
    <w:abstractNumId w:val="23"/>
  </w:num>
  <w:num w:numId="19">
    <w:abstractNumId w:val="41"/>
  </w:num>
  <w:num w:numId="20">
    <w:abstractNumId w:val="6"/>
  </w:num>
  <w:num w:numId="21">
    <w:abstractNumId w:val="37"/>
  </w:num>
  <w:num w:numId="22">
    <w:abstractNumId w:val="21"/>
  </w:num>
  <w:num w:numId="23">
    <w:abstractNumId w:val="15"/>
  </w:num>
  <w:num w:numId="24">
    <w:abstractNumId w:val="45"/>
  </w:num>
  <w:num w:numId="25">
    <w:abstractNumId w:val="1"/>
  </w:num>
  <w:num w:numId="26">
    <w:abstractNumId w:val="0"/>
  </w:num>
  <w:num w:numId="27">
    <w:abstractNumId w:val="13"/>
  </w:num>
  <w:num w:numId="28">
    <w:abstractNumId w:val="22"/>
  </w:num>
  <w:num w:numId="29">
    <w:abstractNumId w:val="19"/>
  </w:num>
  <w:num w:numId="30">
    <w:abstractNumId w:val="3"/>
  </w:num>
  <w:num w:numId="31">
    <w:abstractNumId w:val="17"/>
  </w:num>
  <w:num w:numId="32">
    <w:abstractNumId w:val="36"/>
  </w:num>
  <w:num w:numId="33">
    <w:abstractNumId w:val="25"/>
  </w:num>
  <w:num w:numId="34">
    <w:abstractNumId w:val="28"/>
  </w:num>
  <w:num w:numId="35">
    <w:abstractNumId w:val="26"/>
  </w:num>
  <w:num w:numId="36">
    <w:abstractNumId w:val="7"/>
  </w:num>
  <w:num w:numId="37">
    <w:abstractNumId w:val="4"/>
  </w:num>
  <w:num w:numId="38">
    <w:abstractNumId w:val="9"/>
  </w:num>
  <w:num w:numId="39">
    <w:abstractNumId w:val="24"/>
  </w:num>
  <w:num w:numId="40">
    <w:abstractNumId w:val="29"/>
  </w:num>
  <w:num w:numId="41">
    <w:abstractNumId w:val="20"/>
  </w:num>
  <w:num w:numId="42">
    <w:abstractNumId w:val="11"/>
  </w:num>
  <w:num w:numId="43">
    <w:abstractNumId w:val="39"/>
  </w:num>
  <w:num w:numId="44">
    <w:abstractNumId w:val="16"/>
  </w:num>
  <w:num w:numId="45">
    <w:abstractNumId w:val="8"/>
  </w:num>
  <w:num w:numId="46">
    <w:abstractNumId w:val="32"/>
  </w:num>
  <w:num w:numId="47">
    <w:abstractNumId w:val="3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attachedTemplate r:id="rId1"/>
  <w:stylePaneFormatFilter w:val="3F01"/>
  <w:doNotTrackMoves/>
  <w:defaultTabStop w:val="839"/>
  <w:hyphenationZone w:val="425"/>
  <w:evenAndOddHeaders/>
  <w:drawingGridHorizontalSpacing w:val="120"/>
  <w:displayHorizontalDrawingGridEvery w:val="0"/>
  <w:displayVertic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43A28"/>
    <w:rsid w:val="000043A5"/>
    <w:rsid w:val="00011E9F"/>
    <w:rsid w:val="0001336D"/>
    <w:rsid w:val="00020E56"/>
    <w:rsid w:val="0004164B"/>
    <w:rsid w:val="00043D7F"/>
    <w:rsid w:val="00056B19"/>
    <w:rsid w:val="000578C3"/>
    <w:rsid w:val="0006120E"/>
    <w:rsid w:val="0006352D"/>
    <w:rsid w:val="0006440B"/>
    <w:rsid w:val="00071A69"/>
    <w:rsid w:val="00073346"/>
    <w:rsid w:val="00073726"/>
    <w:rsid w:val="00077E32"/>
    <w:rsid w:val="00086D37"/>
    <w:rsid w:val="00087AA6"/>
    <w:rsid w:val="00090211"/>
    <w:rsid w:val="00094BC0"/>
    <w:rsid w:val="000A180D"/>
    <w:rsid w:val="000A3A6C"/>
    <w:rsid w:val="000B3525"/>
    <w:rsid w:val="000B3C1E"/>
    <w:rsid w:val="000B7F26"/>
    <w:rsid w:val="000C2BE9"/>
    <w:rsid w:val="000C5C6B"/>
    <w:rsid w:val="000D0C29"/>
    <w:rsid w:val="000D153A"/>
    <w:rsid w:val="000D36D5"/>
    <w:rsid w:val="000E4491"/>
    <w:rsid w:val="000E598D"/>
    <w:rsid w:val="000E60E3"/>
    <w:rsid w:val="000E6330"/>
    <w:rsid w:val="000E7AEA"/>
    <w:rsid w:val="000F288D"/>
    <w:rsid w:val="000F4CE9"/>
    <w:rsid w:val="00100C5E"/>
    <w:rsid w:val="0010731D"/>
    <w:rsid w:val="00111FE0"/>
    <w:rsid w:val="00112B12"/>
    <w:rsid w:val="00112DF9"/>
    <w:rsid w:val="00116A04"/>
    <w:rsid w:val="00117AE4"/>
    <w:rsid w:val="001208E3"/>
    <w:rsid w:val="001221AA"/>
    <w:rsid w:val="00123F38"/>
    <w:rsid w:val="001303EB"/>
    <w:rsid w:val="001308C7"/>
    <w:rsid w:val="00132667"/>
    <w:rsid w:val="001333E7"/>
    <w:rsid w:val="001455DB"/>
    <w:rsid w:val="00151E63"/>
    <w:rsid w:val="0015267E"/>
    <w:rsid w:val="00154C44"/>
    <w:rsid w:val="00155B85"/>
    <w:rsid w:val="0015752D"/>
    <w:rsid w:val="00157DB3"/>
    <w:rsid w:val="0016062E"/>
    <w:rsid w:val="00166AE5"/>
    <w:rsid w:val="00167B4E"/>
    <w:rsid w:val="00190A91"/>
    <w:rsid w:val="001A3E23"/>
    <w:rsid w:val="001A4248"/>
    <w:rsid w:val="001B01D8"/>
    <w:rsid w:val="001B5542"/>
    <w:rsid w:val="001B6AAE"/>
    <w:rsid w:val="001C25A9"/>
    <w:rsid w:val="001C27F9"/>
    <w:rsid w:val="001D137D"/>
    <w:rsid w:val="001D26BE"/>
    <w:rsid w:val="001D2B20"/>
    <w:rsid w:val="001D4A3C"/>
    <w:rsid w:val="001D50C0"/>
    <w:rsid w:val="001E3487"/>
    <w:rsid w:val="001F1A11"/>
    <w:rsid w:val="001F36A0"/>
    <w:rsid w:val="001F3747"/>
    <w:rsid w:val="001F6908"/>
    <w:rsid w:val="001F70AB"/>
    <w:rsid w:val="00201A3B"/>
    <w:rsid w:val="00202E8B"/>
    <w:rsid w:val="00206BCA"/>
    <w:rsid w:val="00210136"/>
    <w:rsid w:val="00210DDF"/>
    <w:rsid w:val="00215A34"/>
    <w:rsid w:val="00234BF4"/>
    <w:rsid w:val="0023720F"/>
    <w:rsid w:val="0024195C"/>
    <w:rsid w:val="002460FB"/>
    <w:rsid w:val="0025078D"/>
    <w:rsid w:val="002537F0"/>
    <w:rsid w:val="00254D9E"/>
    <w:rsid w:val="00260103"/>
    <w:rsid w:val="002614B7"/>
    <w:rsid w:val="00263F4C"/>
    <w:rsid w:val="00272ABC"/>
    <w:rsid w:val="00273A9A"/>
    <w:rsid w:val="00282048"/>
    <w:rsid w:val="002823A0"/>
    <w:rsid w:val="002837CC"/>
    <w:rsid w:val="00283C8E"/>
    <w:rsid w:val="002858ED"/>
    <w:rsid w:val="00292104"/>
    <w:rsid w:val="00295F9B"/>
    <w:rsid w:val="00296F94"/>
    <w:rsid w:val="002A05C5"/>
    <w:rsid w:val="002A2484"/>
    <w:rsid w:val="002A4072"/>
    <w:rsid w:val="002A5938"/>
    <w:rsid w:val="002B0575"/>
    <w:rsid w:val="002B1872"/>
    <w:rsid w:val="002B1E60"/>
    <w:rsid w:val="002B2AD4"/>
    <w:rsid w:val="002B3AB6"/>
    <w:rsid w:val="002D4247"/>
    <w:rsid w:val="002D789E"/>
    <w:rsid w:val="002E2D01"/>
    <w:rsid w:val="002E3358"/>
    <w:rsid w:val="002E7B3C"/>
    <w:rsid w:val="002F432B"/>
    <w:rsid w:val="002F4D15"/>
    <w:rsid w:val="002F5EC3"/>
    <w:rsid w:val="002F7EEC"/>
    <w:rsid w:val="0030266C"/>
    <w:rsid w:val="00302F64"/>
    <w:rsid w:val="00304DC8"/>
    <w:rsid w:val="00306D2F"/>
    <w:rsid w:val="00311037"/>
    <w:rsid w:val="00314986"/>
    <w:rsid w:val="00316C6B"/>
    <w:rsid w:val="00317246"/>
    <w:rsid w:val="00317DC8"/>
    <w:rsid w:val="00323FB3"/>
    <w:rsid w:val="00324CBF"/>
    <w:rsid w:val="00325E62"/>
    <w:rsid w:val="0033396B"/>
    <w:rsid w:val="00334614"/>
    <w:rsid w:val="00346CF8"/>
    <w:rsid w:val="00354BF0"/>
    <w:rsid w:val="003560D9"/>
    <w:rsid w:val="003563E1"/>
    <w:rsid w:val="00356CC5"/>
    <w:rsid w:val="0035767C"/>
    <w:rsid w:val="00362F27"/>
    <w:rsid w:val="003671CA"/>
    <w:rsid w:val="003812BB"/>
    <w:rsid w:val="00386223"/>
    <w:rsid w:val="00391236"/>
    <w:rsid w:val="0039462A"/>
    <w:rsid w:val="00395D37"/>
    <w:rsid w:val="003A09E9"/>
    <w:rsid w:val="003A3B71"/>
    <w:rsid w:val="003A60A3"/>
    <w:rsid w:val="003B097A"/>
    <w:rsid w:val="003B4055"/>
    <w:rsid w:val="003B4F2F"/>
    <w:rsid w:val="003C117F"/>
    <w:rsid w:val="003C1715"/>
    <w:rsid w:val="003C2A83"/>
    <w:rsid w:val="003C4429"/>
    <w:rsid w:val="003C6235"/>
    <w:rsid w:val="003D2EDD"/>
    <w:rsid w:val="003D3376"/>
    <w:rsid w:val="003D37EF"/>
    <w:rsid w:val="003D4A16"/>
    <w:rsid w:val="003D4B03"/>
    <w:rsid w:val="003D7904"/>
    <w:rsid w:val="003E0390"/>
    <w:rsid w:val="003E1A68"/>
    <w:rsid w:val="003E3D45"/>
    <w:rsid w:val="003E560C"/>
    <w:rsid w:val="003E64CD"/>
    <w:rsid w:val="003F3C58"/>
    <w:rsid w:val="003F4F87"/>
    <w:rsid w:val="003F6340"/>
    <w:rsid w:val="004035ED"/>
    <w:rsid w:val="00404CF0"/>
    <w:rsid w:val="00414157"/>
    <w:rsid w:val="004144F4"/>
    <w:rsid w:val="00420262"/>
    <w:rsid w:val="004202AE"/>
    <w:rsid w:val="0042122B"/>
    <w:rsid w:val="004235DD"/>
    <w:rsid w:val="004236F2"/>
    <w:rsid w:val="00424679"/>
    <w:rsid w:val="00432DF0"/>
    <w:rsid w:val="00436797"/>
    <w:rsid w:val="00436A90"/>
    <w:rsid w:val="004403BE"/>
    <w:rsid w:val="00442BDF"/>
    <w:rsid w:val="00445CE6"/>
    <w:rsid w:val="00451BFE"/>
    <w:rsid w:val="00454FCB"/>
    <w:rsid w:val="00455ED3"/>
    <w:rsid w:val="004571D0"/>
    <w:rsid w:val="00457521"/>
    <w:rsid w:val="004634C8"/>
    <w:rsid w:val="00465C93"/>
    <w:rsid w:val="00467608"/>
    <w:rsid w:val="00472D0D"/>
    <w:rsid w:val="0047360D"/>
    <w:rsid w:val="004822A6"/>
    <w:rsid w:val="00484C51"/>
    <w:rsid w:val="00485644"/>
    <w:rsid w:val="00491D02"/>
    <w:rsid w:val="0049224E"/>
    <w:rsid w:val="00492F51"/>
    <w:rsid w:val="00493032"/>
    <w:rsid w:val="004A5EC3"/>
    <w:rsid w:val="004A62F4"/>
    <w:rsid w:val="004B0E85"/>
    <w:rsid w:val="004B4AAA"/>
    <w:rsid w:val="004C49B1"/>
    <w:rsid w:val="004C4C48"/>
    <w:rsid w:val="004C78C1"/>
    <w:rsid w:val="004D4431"/>
    <w:rsid w:val="004E0259"/>
    <w:rsid w:val="004E3225"/>
    <w:rsid w:val="004E4C9F"/>
    <w:rsid w:val="004E6F0C"/>
    <w:rsid w:val="004F3A8F"/>
    <w:rsid w:val="004F3B98"/>
    <w:rsid w:val="004F5137"/>
    <w:rsid w:val="00500334"/>
    <w:rsid w:val="00515A35"/>
    <w:rsid w:val="00527064"/>
    <w:rsid w:val="005303EB"/>
    <w:rsid w:val="00531FAA"/>
    <w:rsid w:val="00541521"/>
    <w:rsid w:val="0054157B"/>
    <w:rsid w:val="0054390E"/>
    <w:rsid w:val="0054404D"/>
    <w:rsid w:val="0054575A"/>
    <w:rsid w:val="005605B9"/>
    <w:rsid w:val="005629BD"/>
    <w:rsid w:val="0057394B"/>
    <w:rsid w:val="005800BA"/>
    <w:rsid w:val="00582F86"/>
    <w:rsid w:val="0058317D"/>
    <w:rsid w:val="0058660D"/>
    <w:rsid w:val="005915BF"/>
    <w:rsid w:val="005A0A1F"/>
    <w:rsid w:val="005A13B3"/>
    <w:rsid w:val="005A376C"/>
    <w:rsid w:val="005B0AFF"/>
    <w:rsid w:val="005B5FB0"/>
    <w:rsid w:val="005B776A"/>
    <w:rsid w:val="005C4716"/>
    <w:rsid w:val="005C611F"/>
    <w:rsid w:val="005D31CB"/>
    <w:rsid w:val="005D3AEC"/>
    <w:rsid w:val="005D3B6A"/>
    <w:rsid w:val="005E15A2"/>
    <w:rsid w:val="005E1942"/>
    <w:rsid w:val="005E42C1"/>
    <w:rsid w:val="005E573F"/>
    <w:rsid w:val="005E6B5E"/>
    <w:rsid w:val="005F0C5A"/>
    <w:rsid w:val="005F55F0"/>
    <w:rsid w:val="005F7F4A"/>
    <w:rsid w:val="006042FF"/>
    <w:rsid w:val="0060649E"/>
    <w:rsid w:val="0060771E"/>
    <w:rsid w:val="006106FB"/>
    <w:rsid w:val="00610743"/>
    <w:rsid w:val="00610EED"/>
    <w:rsid w:val="00612AAE"/>
    <w:rsid w:val="0061352F"/>
    <w:rsid w:val="006169C2"/>
    <w:rsid w:val="00622DFB"/>
    <w:rsid w:val="006245BA"/>
    <w:rsid w:val="00627F45"/>
    <w:rsid w:val="00633279"/>
    <w:rsid w:val="00633A02"/>
    <w:rsid w:val="00634AC8"/>
    <w:rsid w:val="00634EE0"/>
    <w:rsid w:val="00636D8E"/>
    <w:rsid w:val="006409E7"/>
    <w:rsid w:val="006420CC"/>
    <w:rsid w:val="00643BE9"/>
    <w:rsid w:val="00655F74"/>
    <w:rsid w:val="00656A80"/>
    <w:rsid w:val="00656B21"/>
    <w:rsid w:val="006571E8"/>
    <w:rsid w:val="00664629"/>
    <w:rsid w:val="00665AA2"/>
    <w:rsid w:val="0066635C"/>
    <w:rsid w:val="00671EF7"/>
    <w:rsid w:val="0067504F"/>
    <w:rsid w:val="00687355"/>
    <w:rsid w:val="00690CC2"/>
    <w:rsid w:val="00692C73"/>
    <w:rsid w:val="0069387F"/>
    <w:rsid w:val="00693E54"/>
    <w:rsid w:val="00695021"/>
    <w:rsid w:val="00695853"/>
    <w:rsid w:val="00696727"/>
    <w:rsid w:val="006A2D71"/>
    <w:rsid w:val="006A5B9A"/>
    <w:rsid w:val="006A5E18"/>
    <w:rsid w:val="006A5E87"/>
    <w:rsid w:val="006B0240"/>
    <w:rsid w:val="006B221D"/>
    <w:rsid w:val="006B32F2"/>
    <w:rsid w:val="006B39AB"/>
    <w:rsid w:val="006B6831"/>
    <w:rsid w:val="006C34DD"/>
    <w:rsid w:val="006C4247"/>
    <w:rsid w:val="006C6868"/>
    <w:rsid w:val="006D2A74"/>
    <w:rsid w:val="006D6713"/>
    <w:rsid w:val="006E7FCE"/>
    <w:rsid w:val="006F4F5E"/>
    <w:rsid w:val="006F62D8"/>
    <w:rsid w:val="00700FDB"/>
    <w:rsid w:val="007017D4"/>
    <w:rsid w:val="00701F58"/>
    <w:rsid w:val="00705F7D"/>
    <w:rsid w:val="00712861"/>
    <w:rsid w:val="0072336A"/>
    <w:rsid w:val="00726381"/>
    <w:rsid w:val="00727CFD"/>
    <w:rsid w:val="007301ED"/>
    <w:rsid w:val="007314BC"/>
    <w:rsid w:val="0073179A"/>
    <w:rsid w:val="00735C11"/>
    <w:rsid w:val="00736AC7"/>
    <w:rsid w:val="00737221"/>
    <w:rsid w:val="00751C62"/>
    <w:rsid w:val="007627A6"/>
    <w:rsid w:val="00763E55"/>
    <w:rsid w:val="0076581C"/>
    <w:rsid w:val="00765F7F"/>
    <w:rsid w:val="00766091"/>
    <w:rsid w:val="0077301A"/>
    <w:rsid w:val="0078046D"/>
    <w:rsid w:val="00783292"/>
    <w:rsid w:val="007849E0"/>
    <w:rsid w:val="00785AC6"/>
    <w:rsid w:val="00793A4C"/>
    <w:rsid w:val="0079465D"/>
    <w:rsid w:val="007947D5"/>
    <w:rsid w:val="00796EDC"/>
    <w:rsid w:val="0079718D"/>
    <w:rsid w:val="007A5432"/>
    <w:rsid w:val="007B057E"/>
    <w:rsid w:val="007B177B"/>
    <w:rsid w:val="007C25A1"/>
    <w:rsid w:val="007C5529"/>
    <w:rsid w:val="007D0BCB"/>
    <w:rsid w:val="007D2B4F"/>
    <w:rsid w:val="007D3F6D"/>
    <w:rsid w:val="007D767A"/>
    <w:rsid w:val="007E387C"/>
    <w:rsid w:val="007E409C"/>
    <w:rsid w:val="007F3D87"/>
    <w:rsid w:val="007F4011"/>
    <w:rsid w:val="007F433B"/>
    <w:rsid w:val="00800FBA"/>
    <w:rsid w:val="008014D2"/>
    <w:rsid w:val="008016A0"/>
    <w:rsid w:val="00801801"/>
    <w:rsid w:val="00803219"/>
    <w:rsid w:val="0080328C"/>
    <w:rsid w:val="00803675"/>
    <w:rsid w:val="008122D2"/>
    <w:rsid w:val="008149B8"/>
    <w:rsid w:val="008162B5"/>
    <w:rsid w:val="00820CEA"/>
    <w:rsid w:val="008267EE"/>
    <w:rsid w:val="008312F3"/>
    <w:rsid w:val="00831AFB"/>
    <w:rsid w:val="008326D3"/>
    <w:rsid w:val="00832B51"/>
    <w:rsid w:val="00836C59"/>
    <w:rsid w:val="00840D1F"/>
    <w:rsid w:val="00842154"/>
    <w:rsid w:val="008427A7"/>
    <w:rsid w:val="00843A28"/>
    <w:rsid w:val="00846F99"/>
    <w:rsid w:val="00855CCB"/>
    <w:rsid w:val="00861190"/>
    <w:rsid w:val="00861BED"/>
    <w:rsid w:val="00862700"/>
    <w:rsid w:val="008852F9"/>
    <w:rsid w:val="00885E9E"/>
    <w:rsid w:val="00886D7F"/>
    <w:rsid w:val="00893F9D"/>
    <w:rsid w:val="00895501"/>
    <w:rsid w:val="008A2983"/>
    <w:rsid w:val="008A44CA"/>
    <w:rsid w:val="008A6356"/>
    <w:rsid w:val="008A7853"/>
    <w:rsid w:val="008A7867"/>
    <w:rsid w:val="008B2ED1"/>
    <w:rsid w:val="008B519B"/>
    <w:rsid w:val="008C0244"/>
    <w:rsid w:val="008C20A0"/>
    <w:rsid w:val="008C5BF2"/>
    <w:rsid w:val="008D5BFD"/>
    <w:rsid w:val="008E1CA8"/>
    <w:rsid w:val="008E21A3"/>
    <w:rsid w:val="008E3179"/>
    <w:rsid w:val="008E7180"/>
    <w:rsid w:val="008E7DBB"/>
    <w:rsid w:val="0090020A"/>
    <w:rsid w:val="00901707"/>
    <w:rsid w:val="0090486E"/>
    <w:rsid w:val="00905254"/>
    <w:rsid w:val="00911EF0"/>
    <w:rsid w:val="009170DC"/>
    <w:rsid w:val="0093066D"/>
    <w:rsid w:val="0093618C"/>
    <w:rsid w:val="0093664C"/>
    <w:rsid w:val="00940525"/>
    <w:rsid w:val="00940570"/>
    <w:rsid w:val="0094345A"/>
    <w:rsid w:val="00945203"/>
    <w:rsid w:val="00946229"/>
    <w:rsid w:val="00947E9A"/>
    <w:rsid w:val="009537EF"/>
    <w:rsid w:val="00962F93"/>
    <w:rsid w:val="00967C1A"/>
    <w:rsid w:val="00972647"/>
    <w:rsid w:val="0097372C"/>
    <w:rsid w:val="00974188"/>
    <w:rsid w:val="009841A2"/>
    <w:rsid w:val="00992B64"/>
    <w:rsid w:val="00994604"/>
    <w:rsid w:val="00994679"/>
    <w:rsid w:val="009A7D65"/>
    <w:rsid w:val="009B2A7C"/>
    <w:rsid w:val="009B3573"/>
    <w:rsid w:val="009B4C44"/>
    <w:rsid w:val="009B52E5"/>
    <w:rsid w:val="009B560A"/>
    <w:rsid w:val="009C0F73"/>
    <w:rsid w:val="009C1C75"/>
    <w:rsid w:val="009C3BA1"/>
    <w:rsid w:val="009D0239"/>
    <w:rsid w:val="009D17D4"/>
    <w:rsid w:val="009D2D84"/>
    <w:rsid w:val="009D4E98"/>
    <w:rsid w:val="009E33E5"/>
    <w:rsid w:val="009E4441"/>
    <w:rsid w:val="009E4F82"/>
    <w:rsid w:val="009F058A"/>
    <w:rsid w:val="009F3193"/>
    <w:rsid w:val="009F7CB0"/>
    <w:rsid w:val="00A001FD"/>
    <w:rsid w:val="00A01D11"/>
    <w:rsid w:val="00A07B3B"/>
    <w:rsid w:val="00A12F05"/>
    <w:rsid w:val="00A14A64"/>
    <w:rsid w:val="00A14CD7"/>
    <w:rsid w:val="00A16B95"/>
    <w:rsid w:val="00A233D0"/>
    <w:rsid w:val="00A3553C"/>
    <w:rsid w:val="00A35722"/>
    <w:rsid w:val="00A373D0"/>
    <w:rsid w:val="00A4491A"/>
    <w:rsid w:val="00A51B17"/>
    <w:rsid w:val="00A52023"/>
    <w:rsid w:val="00A537B1"/>
    <w:rsid w:val="00A608C9"/>
    <w:rsid w:val="00A60ED3"/>
    <w:rsid w:val="00A641D9"/>
    <w:rsid w:val="00A64272"/>
    <w:rsid w:val="00A6570E"/>
    <w:rsid w:val="00A677A3"/>
    <w:rsid w:val="00A72FC4"/>
    <w:rsid w:val="00A74C01"/>
    <w:rsid w:val="00A82D7C"/>
    <w:rsid w:val="00A9057D"/>
    <w:rsid w:val="00A9303D"/>
    <w:rsid w:val="00A97D1C"/>
    <w:rsid w:val="00AA15F0"/>
    <w:rsid w:val="00AA186A"/>
    <w:rsid w:val="00AA36C4"/>
    <w:rsid w:val="00AA5133"/>
    <w:rsid w:val="00AA5999"/>
    <w:rsid w:val="00AA695D"/>
    <w:rsid w:val="00AB608C"/>
    <w:rsid w:val="00AB731F"/>
    <w:rsid w:val="00AD1C0F"/>
    <w:rsid w:val="00AD1D68"/>
    <w:rsid w:val="00AD42BD"/>
    <w:rsid w:val="00AD4B80"/>
    <w:rsid w:val="00AD525E"/>
    <w:rsid w:val="00AD6C4E"/>
    <w:rsid w:val="00AE47B8"/>
    <w:rsid w:val="00AE7CEF"/>
    <w:rsid w:val="00AF0E65"/>
    <w:rsid w:val="00AF0FA6"/>
    <w:rsid w:val="00AF47BB"/>
    <w:rsid w:val="00B040AC"/>
    <w:rsid w:val="00B075FB"/>
    <w:rsid w:val="00B1268C"/>
    <w:rsid w:val="00B12AF4"/>
    <w:rsid w:val="00B158A9"/>
    <w:rsid w:val="00B164F1"/>
    <w:rsid w:val="00B16BAC"/>
    <w:rsid w:val="00B24C2C"/>
    <w:rsid w:val="00B332D0"/>
    <w:rsid w:val="00B35489"/>
    <w:rsid w:val="00B36833"/>
    <w:rsid w:val="00B402C5"/>
    <w:rsid w:val="00B451A5"/>
    <w:rsid w:val="00B45882"/>
    <w:rsid w:val="00B5183E"/>
    <w:rsid w:val="00B51B5F"/>
    <w:rsid w:val="00B55C70"/>
    <w:rsid w:val="00B5760A"/>
    <w:rsid w:val="00B615FD"/>
    <w:rsid w:val="00B63D62"/>
    <w:rsid w:val="00B63FE7"/>
    <w:rsid w:val="00B6514B"/>
    <w:rsid w:val="00B678D8"/>
    <w:rsid w:val="00B71D08"/>
    <w:rsid w:val="00B74D88"/>
    <w:rsid w:val="00B80B43"/>
    <w:rsid w:val="00B82CAF"/>
    <w:rsid w:val="00B964F1"/>
    <w:rsid w:val="00B97268"/>
    <w:rsid w:val="00BA36E3"/>
    <w:rsid w:val="00BA5B79"/>
    <w:rsid w:val="00BB013C"/>
    <w:rsid w:val="00BB5142"/>
    <w:rsid w:val="00BC2244"/>
    <w:rsid w:val="00BC4884"/>
    <w:rsid w:val="00BC5F38"/>
    <w:rsid w:val="00BD6100"/>
    <w:rsid w:val="00BE1355"/>
    <w:rsid w:val="00C03998"/>
    <w:rsid w:val="00C040D2"/>
    <w:rsid w:val="00C06746"/>
    <w:rsid w:val="00C11B5D"/>
    <w:rsid w:val="00C11E4A"/>
    <w:rsid w:val="00C1669C"/>
    <w:rsid w:val="00C20B22"/>
    <w:rsid w:val="00C23243"/>
    <w:rsid w:val="00C276A5"/>
    <w:rsid w:val="00C27B0C"/>
    <w:rsid w:val="00C33B1D"/>
    <w:rsid w:val="00C40757"/>
    <w:rsid w:val="00C5304C"/>
    <w:rsid w:val="00C6487E"/>
    <w:rsid w:val="00C67936"/>
    <w:rsid w:val="00C71ED4"/>
    <w:rsid w:val="00C72B92"/>
    <w:rsid w:val="00C82568"/>
    <w:rsid w:val="00C91B20"/>
    <w:rsid w:val="00C92F12"/>
    <w:rsid w:val="00C9399A"/>
    <w:rsid w:val="00C949CA"/>
    <w:rsid w:val="00CA17A6"/>
    <w:rsid w:val="00CA2AF4"/>
    <w:rsid w:val="00CA2EE3"/>
    <w:rsid w:val="00CA3275"/>
    <w:rsid w:val="00CA4159"/>
    <w:rsid w:val="00CA47E1"/>
    <w:rsid w:val="00CA5199"/>
    <w:rsid w:val="00CA5B5F"/>
    <w:rsid w:val="00CA5C4F"/>
    <w:rsid w:val="00CB1E14"/>
    <w:rsid w:val="00CB5363"/>
    <w:rsid w:val="00CC0426"/>
    <w:rsid w:val="00CC0C96"/>
    <w:rsid w:val="00CC3E93"/>
    <w:rsid w:val="00CC3F75"/>
    <w:rsid w:val="00CC753C"/>
    <w:rsid w:val="00CD18C9"/>
    <w:rsid w:val="00CD44E0"/>
    <w:rsid w:val="00CE3DAD"/>
    <w:rsid w:val="00CF035D"/>
    <w:rsid w:val="00CF0519"/>
    <w:rsid w:val="00CF1BDD"/>
    <w:rsid w:val="00D04A96"/>
    <w:rsid w:val="00D1158B"/>
    <w:rsid w:val="00D137AE"/>
    <w:rsid w:val="00D20888"/>
    <w:rsid w:val="00D21356"/>
    <w:rsid w:val="00D238E7"/>
    <w:rsid w:val="00D33B30"/>
    <w:rsid w:val="00D54F86"/>
    <w:rsid w:val="00D55569"/>
    <w:rsid w:val="00D5655F"/>
    <w:rsid w:val="00D61151"/>
    <w:rsid w:val="00D62F3A"/>
    <w:rsid w:val="00D674C6"/>
    <w:rsid w:val="00D704D9"/>
    <w:rsid w:val="00D762DC"/>
    <w:rsid w:val="00D80B68"/>
    <w:rsid w:val="00D8111A"/>
    <w:rsid w:val="00D824ED"/>
    <w:rsid w:val="00D8598B"/>
    <w:rsid w:val="00D903A2"/>
    <w:rsid w:val="00D9139C"/>
    <w:rsid w:val="00D9241C"/>
    <w:rsid w:val="00D92ADA"/>
    <w:rsid w:val="00DA4303"/>
    <w:rsid w:val="00DA6C60"/>
    <w:rsid w:val="00DA75ED"/>
    <w:rsid w:val="00DB240F"/>
    <w:rsid w:val="00DB25EE"/>
    <w:rsid w:val="00DB33C4"/>
    <w:rsid w:val="00DB456E"/>
    <w:rsid w:val="00DB59B5"/>
    <w:rsid w:val="00DB6801"/>
    <w:rsid w:val="00DC4958"/>
    <w:rsid w:val="00DD5143"/>
    <w:rsid w:val="00DD5375"/>
    <w:rsid w:val="00DE0894"/>
    <w:rsid w:val="00DE2B7B"/>
    <w:rsid w:val="00DE4E48"/>
    <w:rsid w:val="00DF3B03"/>
    <w:rsid w:val="00E07580"/>
    <w:rsid w:val="00E11713"/>
    <w:rsid w:val="00E14EE9"/>
    <w:rsid w:val="00E2197B"/>
    <w:rsid w:val="00E22105"/>
    <w:rsid w:val="00E26F7D"/>
    <w:rsid w:val="00E32C8A"/>
    <w:rsid w:val="00E3450A"/>
    <w:rsid w:val="00E44012"/>
    <w:rsid w:val="00E46B9E"/>
    <w:rsid w:val="00E46F2C"/>
    <w:rsid w:val="00E52923"/>
    <w:rsid w:val="00E52DB4"/>
    <w:rsid w:val="00E536C2"/>
    <w:rsid w:val="00E54D1E"/>
    <w:rsid w:val="00E55C39"/>
    <w:rsid w:val="00E64163"/>
    <w:rsid w:val="00E66327"/>
    <w:rsid w:val="00E700C7"/>
    <w:rsid w:val="00E7640B"/>
    <w:rsid w:val="00E81D07"/>
    <w:rsid w:val="00E830AD"/>
    <w:rsid w:val="00E9146F"/>
    <w:rsid w:val="00E92C77"/>
    <w:rsid w:val="00E934B3"/>
    <w:rsid w:val="00E9351C"/>
    <w:rsid w:val="00E93D2A"/>
    <w:rsid w:val="00E9499E"/>
    <w:rsid w:val="00E95A3A"/>
    <w:rsid w:val="00EB1D1F"/>
    <w:rsid w:val="00EB4778"/>
    <w:rsid w:val="00ED5D58"/>
    <w:rsid w:val="00ED61EF"/>
    <w:rsid w:val="00EE5F31"/>
    <w:rsid w:val="00EE63D7"/>
    <w:rsid w:val="00EF52D1"/>
    <w:rsid w:val="00EF5A29"/>
    <w:rsid w:val="00EF626C"/>
    <w:rsid w:val="00EF7FD4"/>
    <w:rsid w:val="00F018BA"/>
    <w:rsid w:val="00F051C0"/>
    <w:rsid w:val="00F10C73"/>
    <w:rsid w:val="00F11A99"/>
    <w:rsid w:val="00F12244"/>
    <w:rsid w:val="00F16A37"/>
    <w:rsid w:val="00F16CD6"/>
    <w:rsid w:val="00F23652"/>
    <w:rsid w:val="00F25996"/>
    <w:rsid w:val="00F272EC"/>
    <w:rsid w:val="00F30AD0"/>
    <w:rsid w:val="00F33D9F"/>
    <w:rsid w:val="00F5670D"/>
    <w:rsid w:val="00F61858"/>
    <w:rsid w:val="00F727C6"/>
    <w:rsid w:val="00F75A2B"/>
    <w:rsid w:val="00F836AD"/>
    <w:rsid w:val="00F837E6"/>
    <w:rsid w:val="00F900C0"/>
    <w:rsid w:val="00F93D5D"/>
    <w:rsid w:val="00F97D75"/>
    <w:rsid w:val="00FA08A9"/>
    <w:rsid w:val="00FA3244"/>
    <w:rsid w:val="00FA3BC6"/>
    <w:rsid w:val="00FA6226"/>
    <w:rsid w:val="00FA7F7D"/>
    <w:rsid w:val="00FB1EA5"/>
    <w:rsid w:val="00FB2D9B"/>
    <w:rsid w:val="00FB66FF"/>
    <w:rsid w:val="00FB6771"/>
    <w:rsid w:val="00FB6A36"/>
    <w:rsid w:val="00FB7546"/>
    <w:rsid w:val="00FC47A9"/>
    <w:rsid w:val="00FC5902"/>
    <w:rsid w:val="00FD2591"/>
    <w:rsid w:val="00FD519B"/>
    <w:rsid w:val="00FD6849"/>
    <w:rsid w:val="00FE0505"/>
    <w:rsid w:val="00FE29A3"/>
    <w:rsid w:val="00FE669E"/>
    <w:rsid w:val="00FF1552"/>
    <w:rsid w:val="00FF1F2F"/>
    <w:rsid w:val="00FF31F8"/>
    <w:rsid w:val="00FF6BB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4C44"/>
    <w:pPr>
      <w:widowControl w:val="0"/>
      <w:jc w:val="both"/>
    </w:pPr>
    <w:rPr>
      <w:rFonts w:ascii="Times New Roman" w:hAnsi="Times New Roman"/>
      <w:color w:val="000000"/>
      <w:kern w:val="2"/>
      <w:sz w:val="24"/>
      <w:szCs w:val="24"/>
      <w:lang w:eastAsia="ja-JP"/>
    </w:rPr>
  </w:style>
  <w:style w:type="paragraph" w:styleId="Heading1">
    <w:name w:val="heading 1"/>
    <w:basedOn w:val="Normal"/>
    <w:next w:val="Normal"/>
    <w:link w:val="Heading1Char"/>
    <w:qFormat/>
    <w:rsid w:val="009B4C4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830A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locked/>
    <w:rsid w:val="008B2ED1"/>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11713"/>
    <w:rPr>
      <w:rFonts w:ascii="Cambria" w:hAnsi="Cambria" w:cs="Times New Roman"/>
      <w:b/>
      <w:bCs/>
      <w:color w:val="000000"/>
      <w:kern w:val="32"/>
      <w:sz w:val="32"/>
      <w:szCs w:val="32"/>
      <w:lang w:eastAsia="ja-JP"/>
    </w:rPr>
  </w:style>
  <w:style w:type="character" w:customStyle="1" w:styleId="Heading2Char">
    <w:name w:val="Heading 2 Char"/>
    <w:basedOn w:val="DefaultParagraphFont"/>
    <w:link w:val="Heading2"/>
    <w:semiHidden/>
    <w:locked/>
    <w:rsid w:val="00E11713"/>
    <w:rPr>
      <w:rFonts w:ascii="Cambria" w:hAnsi="Cambria" w:cs="Times New Roman"/>
      <w:b/>
      <w:bCs/>
      <w:i/>
      <w:iCs/>
      <w:color w:val="000000"/>
      <w:kern w:val="2"/>
      <w:sz w:val="28"/>
      <w:szCs w:val="28"/>
      <w:lang w:eastAsia="ja-JP"/>
    </w:rPr>
  </w:style>
  <w:style w:type="paragraph" w:styleId="Footer">
    <w:name w:val="footer"/>
    <w:basedOn w:val="Normal"/>
    <w:link w:val="FooterChar"/>
    <w:uiPriority w:val="99"/>
    <w:rsid w:val="009B4C44"/>
    <w:pPr>
      <w:tabs>
        <w:tab w:val="center" w:pos="4252"/>
        <w:tab w:val="right" w:pos="8504"/>
      </w:tabs>
      <w:snapToGrid w:val="0"/>
    </w:pPr>
    <w:rPr>
      <w:szCs w:val="22"/>
    </w:rPr>
  </w:style>
  <w:style w:type="character" w:customStyle="1" w:styleId="FooterChar">
    <w:name w:val="Footer Char"/>
    <w:basedOn w:val="DefaultParagraphFont"/>
    <w:link w:val="Footer"/>
    <w:uiPriority w:val="99"/>
    <w:locked/>
    <w:rsid w:val="00E11713"/>
    <w:rPr>
      <w:rFonts w:ascii="Times New Roman" w:hAnsi="Times New Roman" w:cs="Times New Roman"/>
      <w:color w:val="000000"/>
      <w:kern w:val="2"/>
      <w:sz w:val="24"/>
      <w:szCs w:val="24"/>
      <w:lang w:eastAsia="ja-JP"/>
    </w:rPr>
  </w:style>
  <w:style w:type="character" w:styleId="PageNumber">
    <w:name w:val="page number"/>
    <w:basedOn w:val="DefaultParagraphFont"/>
    <w:rsid w:val="009B4C44"/>
    <w:rPr>
      <w:rFonts w:cs="Times New Roman"/>
    </w:rPr>
  </w:style>
  <w:style w:type="character" w:styleId="CommentReference">
    <w:name w:val="annotation reference"/>
    <w:basedOn w:val="DefaultParagraphFont"/>
    <w:semiHidden/>
    <w:rsid w:val="009B4C44"/>
    <w:rPr>
      <w:rFonts w:cs="Times New Roman"/>
      <w:sz w:val="16"/>
      <w:szCs w:val="16"/>
    </w:rPr>
  </w:style>
  <w:style w:type="paragraph" w:styleId="CommentText">
    <w:name w:val="annotation text"/>
    <w:basedOn w:val="Normal"/>
    <w:link w:val="CommentTextChar"/>
    <w:semiHidden/>
    <w:rsid w:val="009B4C44"/>
    <w:pPr>
      <w:widowControl/>
      <w:jc w:val="left"/>
    </w:pPr>
    <w:rPr>
      <w:kern w:val="0"/>
      <w:sz w:val="20"/>
      <w:szCs w:val="20"/>
      <w:lang w:val="de-DE" w:eastAsia="de-DE"/>
    </w:rPr>
  </w:style>
  <w:style w:type="character" w:customStyle="1" w:styleId="CommentTextChar">
    <w:name w:val="Comment Text Char"/>
    <w:basedOn w:val="DefaultParagraphFont"/>
    <w:link w:val="CommentText"/>
    <w:semiHidden/>
    <w:locked/>
    <w:rsid w:val="00E11713"/>
    <w:rPr>
      <w:rFonts w:ascii="Times New Roman" w:hAnsi="Times New Roman" w:cs="Times New Roman"/>
      <w:color w:val="000000"/>
      <w:kern w:val="2"/>
      <w:sz w:val="20"/>
      <w:szCs w:val="20"/>
      <w:lang w:eastAsia="ja-JP"/>
    </w:rPr>
  </w:style>
  <w:style w:type="paragraph" w:styleId="BalloonText">
    <w:name w:val="Balloon Text"/>
    <w:basedOn w:val="Normal"/>
    <w:link w:val="BalloonTextChar"/>
    <w:semiHidden/>
    <w:rsid w:val="009B4C44"/>
    <w:rPr>
      <w:rFonts w:ascii="Arial" w:eastAsia="MS Gothic" w:hAnsi="Arial"/>
      <w:sz w:val="18"/>
      <w:szCs w:val="18"/>
    </w:rPr>
  </w:style>
  <w:style w:type="character" w:customStyle="1" w:styleId="BalloonTextChar">
    <w:name w:val="Balloon Text Char"/>
    <w:basedOn w:val="DefaultParagraphFont"/>
    <w:link w:val="BalloonText"/>
    <w:semiHidden/>
    <w:locked/>
    <w:rsid w:val="00E11713"/>
    <w:rPr>
      <w:rFonts w:ascii="Times New Roman" w:hAnsi="Times New Roman" w:cs="Times New Roman"/>
      <w:color w:val="000000"/>
      <w:kern w:val="2"/>
      <w:sz w:val="2"/>
      <w:lang w:eastAsia="ja-JP"/>
    </w:rPr>
  </w:style>
  <w:style w:type="character" w:styleId="Strong">
    <w:name w:val="Strong"/>
    <w:basedOn w:val="DefaultParagraphFont"/>
    <w:qFormat/>
    <w:rsid w:val="00E830AD"/>
    <w:rPr>
      <w:rFonts w:cs="Times New Roman"/>
      <w:b/>
      <w:bCs/>
    </w:rPr>
  </w:style>
  <w:style w:type="paragraph" w:styleId="CommentSubject">
    <w:name w:val="annotation subject"/>
    <w:basedOn w:val="CommentText"/>
    <w:next w:val="CommentText"/>
    <w:link w:val="CommentSubjectChar"/>
    <w:semiHidden/>
    <w:rsid w:val="009B4C44"/>
    <w:pPr>
      <w:widowControl w:val="0"/>
      <w:jc w:val="both"/>
    </w:pPr>
    <w:rPr>
      <w:b/>
      <w:bCs/>
      <w:kern w:val="2"/>
      <w:lang w:val="en-US" w:eastAsia="ja-JP"/>
    </w:rPr>
  </w:style>
  <w:style w:type="character" w:customStyle="1" w:styleId="CommentSubjectChar">
    <w:name w:val="Comment Subject Char"/>
    <w:basedOn w:val="CommentTextChar"/>
    <w:link w:val="CommentSubject"/>
    <w:semiHidden/>
    <w:locked/>
    <w:rsid w:val="00E11713"/>
    <w:rPr>
      <w:b/>
      <w:bCs/>
    </w:rPr>
  </w:style>
  <w:style w:type="paragraph" w:styleId="TOC1">
    <w:name w:val="toc 1"/>
    <w:basedOn w:val="Normal"/>
    <w:next w:val="Normal"/>
    <w:autoRedefine/>
    <w:uiPriority w:val="39"/>
    <w:rsid w:val="00AD4B80"/>
    <w:pPr>
      <w:tabs>
        <w:tab w:val="left" w:pos="540"/>
        <w:tab w:val="right" w:leader="dot" w:pos="9360"/>
      </w:tabs>
      <w:spacing w:after="120"/>
      <w:ind w:left="540" w:hanging="540"/>
      <w:jc w:val="left"/>
    </w:pPr>
    <w:rPr>
      <w:rFonts w:ascii="Century Schoolbook" w:hAnsi="Century Schoolbook"/>
      <w:b/>
      <w:bCs/>
      <w:caps/>
      <w:noProof/>
      <w:sz w:val="22"/>
      <w:szCs w:val="22"/>
    </w:rPr>
  </w:style>
  <w:style w:type="paragraph" w:customStyle="1" w:styleId="hs">
    <w:name w:val="hs"/>
    <w:basedOn w:val="Normal"/>
    <w:rsid w:val="009B4C44"/>
    <w:pPr>
      <w:widowControl/>
      <w:tabs>
        <w:tab w:val="left" w:pos="426"/>
        <w:tab w:val="left" w:pos="851"/>
        <w:tab w:val="center" w:pos="6804"/>
      </w:tabs>
      <w:spacing w:after="120"/>
    </w:pPr>
    <w:rPr>
      <w:b/>
      <w:color w:val="auto"/>
      <w:kern w:val="0"/>
      <w:szCs w:val="20"/>
      <w:lang w:eastAsia="en-US"/>
    </w:rPr>
  </w:style>
  <w:style w:type="paragraph" w:styleId="Date">
    <w:name w:val="Date"/>
    <w:basedOn w:val="Normal"/>
    <w:next w:val="Normal"/>
    <w:link w:val="DateChar"/>
    <w:rsid w:val="009B4C44"/>
  </w:style>
  <w:style w:type="character" w:customStyle="1" w:styleId="DateChar">
    <w:name w:val="Date Char"/>
    <w:basedOn w:val="DefaultParagraphFont"/>
    <w:link w:val="Date"/>
    <w:semiHidden/>
    <w:locked/>
    <w:rsid w:val="00E11713"/>
    <w:rPr>
      <w:rFonts w:ascii="Times New Roman" w:hAnsi="Times New Roman" w:cs="Times New Roman"/>
      <w:color w:val="000000"/>
      <w:kern w:val="2"/>
      <w:sz w:val="24"/>
      <w:szCs w:val="24"/>
      <w:lang w:eastAsia="ja-JP"/>
    </w:rPr>
  </w:style>
  <w:style w:type="paragraph" w:styleId="BodyText2">
    <w:name w:val="Body Text 2"/>
    <w:basedOn w:val="Normal"/>
    <w:link w:val="BodyText2Char"/>
    <w:rsid w:val="009B4C44"/>
    <w:pPr>
      <w:widowControl/>
      <w:spacing w:line="360" w:lineRule="auto"/>
    </w:pPr>
    <w:rPr>
      <w:rFonts w:ascii="Arial" w:hAnsi="Arial"/>
      <w:color w:val="auto"/>
      <w:kern w:val="0"/>
      <w:sz w:val="22"/>
      <w:szCs w:val="20"/>
    </w:rPr>
  </w:style>
  <w:style w:type="character" w:customStyle="1" w:styleId="BodyText2Char">
    <w:name w:val="Body Text 2 Char"/>
    <w:basedOn w:val="DefaultParagraphFont"/>
    <w:link w:val="BodyText2"/>
    <w:semiHidden/>
    <w:locked/>
    <w:rsid w:val="00E11713"/>
    <w:rPr>
      <w:rFonts w:ascii="Times New Roman" w:hAnsi="Times New Roman" w:cs="Times New Roman"/>
      <w:color w:val="000000"/>
      <w:kern w:val="2"/>
      <w:sz w:val="24"/>
      <w:szCs w:val="24"/>
      <w:lang w:eastAsia="ja-JP"/>
    </w:rPr>
  </w:style>
  <w:style w:type="character" w:styleId="Hyperlink">
    <w:name w:val="Hyperlink"/>
    <w:basedOn w:val="DefaultParagraphFont"/>
    <w:uiPriority w:val="99"/>
    <w:rsid w:val="009B4C44"/>
    <w:rPr>
      <w:rFonts w:cs="Times New Roman"/>
      <w:color w:val="0000FF"/>
      <w:u w:val="single"/>
    </w:rPr>
  </w:style>
  <w:style w:type="character" w:styleId="LineNumber">
    <w:name w:val="line number"/>
    <w:basedOn w:val="DefaultParagraphFont"/>
    <w:rsid w:val="009B4C44"/>
    <w:rPr>
      <w:rFonts w:cs="Times New Roman"/>
    </w:rPr>
  </w:style>
  <w:style w:type="paragraph" w:customStyle="1" w:styleId="normal0">
    <w:name w:val="normal"/>
    <w:basedOn w:val="Normal"/>
    <w:rsid w:val="00056B19"/>
    <w:pPr>
      <w:widowControl/>
      <w:overflowPunct w:val="0"/>
      <w:autoSpaceDE w:val="0"/>
      <w:autoSpaceDN w:val="0"/>
      <w:adjustRightInd w:val="0"/>
      <w:spacing w:after="120"/>
      <w:textAlignment w:val="baseline"/>
    </w:pPr>
    <w:rPr>
      <w:rFonts w:ascii="Century Schoolbook" w:hAnsi="Century Schoolbook"/>
      <w:color w:val="auto"/>
      <w:kern w:val="0"/>
      <w:sz w:val="22"/>
      <w:szCs w:val="20"/>
      <w:lang w:val="en-GB" w:eastAsia="en-US"/>
    </w:rPr>
  </w:style>
  <w:style w:type="paragraph" w:customStyle="1" w:styleId="hd">
    <w:name w:val="hd"/>
    <w:basedOn w:val="Normal"/>
    <w:rsid w:val="00056B19"/>
    <w:pPr>
      <w:widowControl/>
      <w:spacing w:after="60"/>
      <w:jc w:val="center"/>
    </w:pPr>
    <w:rPr>
      <w:rFonts w:ascii="Century Schoolbook" w:eastAsia="Times New Roman" w:hAnsi="Century Schoolbook"/>
      <w:b/>
      <w:smallCaps/>
      <w:color w:val="auto"/>
      <w:kern w:val="0"/>
      <w:sz w:val="28"/>
      <w:szCs w:val="20"/>
      <w:lang w:val="en-GB" w:eastAsia="en-US"/>
    </w:rPr>
  </w:style>
  <w:style w:type="paragraph" w:customStyle="1" w:styleId="wfxRecipient">
    <w:name w:val="wfxRecipient"/>
    <w:basedOn w:val="Normal"/>
    <w:rsid w:val="006E7FCE"/>
    <w:pPr>
      <w:widowControl/>
      <w:tabs>
        <w:tab w:val="left" w:pos="426"/>
        <w:tab w:val="left" w:pos="851"/>
        <w:tab w:val="left" w:pos="1276"/>
        <w:tab w:val="center" w:pos="7088"/>
      </w:tabs>
    </w:pPr>
    <w:rPr>
      <w:rFonts w:eastAsia="Times New Roman"/>
      <w:color w:val="auto"/>
      <w:kern w:val="0"/>
      <w:szCs w:val="20"/>
      <w:lang w:val="en-GB" w:eastAsia="en-US"/>
    </w:rPr>
  </w:style>
  <w:style w:type="paragraph" w:customStyle="1" w:styleId="Default">
    <w:name w:val="Default"/>
    <w:rsid w:val="0072336A"/>
    <w:pPr>
      <w:autoSpaceDE w:val="0"/>
      <w:autoSpaceDN w:val="0"/>
      <w:adjustRightInd w:val="0"/>
    </w:pPr>
    <w:rPr>
      <w:rFonts w:ascii="Century Schoolbook" w:hAnsi="Century Schoolbook" w:cs="Century Schoolbook"/>
      <w:color w:val="000000"/>
      <w:sz w:val="24"/>
      <w:szCs w:val="24"/>
    </w:rPr>
  </w:style>
  <w:style w:type="paragraph" w:styleId="Header">
    <w:name w:val="header"/>
    <w:basedOn w:val="Normal"/>
    <w:link w:val="HeaderChar"/>
    <w:rsid w:val="00610EED"/>
    <w:pPr>
      <w:tabs>
        <w:tab w:val="center" w:pos="4680"/>
        <w:tab w:val="right" w:pos="9360"/>
      </w:tabs>
    </w:pPr>
  </w:style>
  <w:style w:type="character" w:customStyle="1" w:styleId="HeaderChar">
    <w:name w:val="Header Char"/>
    <w:basedOn w:val="DefaultParagraphFont"/>
    <w:link w:val="Header"/>
    <w:rsid w:val="00610EED"/>
    <w:rPr>
      <w:rFonts w:ascii="Times New Roman" w:hAnsi="Times New Roman"/>
      <w:color w:val="000000"/>
      <w:kern w:val="2"/>
      <w:sz w:val="24"/>
      <w:szCs w:val="24"/>
      <w:lang w:eastAsia="ja-JP"/>
    </w:rPr>
  </w:style>
  <w:style w:type="paragraph" w:styleId="TOC2">
    <w:name w:val="toc 2"/>
    <w:basedOn w:val="Normal"/>
    <w:next w:val="Normal"/>
    <w:autoRedefine/>
    <w:uiPriority w:val="39"/>
    <w:locked/>
    <w:rsid w:val="00AD4B80"/>
    <w:pPr>
      <w:tabs>
        <w:tab w:val="left" w:pos="540"/>
        <w:tab w:val="right" w:leader="dot" w:pos="9360"/>
      </w:tabs>
      <w:spacing w:after="120"/>
      <w:ind w:left="540" w:hanging="540"/>
      <w:jc w:val="left"/>
    </w:pPr>
    <w:rPr>
      <w:rFonts w:ascii="Century Schoolbook" w:hAnsi="Century Schoolbook"/>
      <w:iCs/>
      <w:noProof/>
      <w:sz w:val="22"/>
      <w:szCs w:val="22"/>
    </w:rPr>
  </w:style>
  <w:style w:type="numbering" w:customStyle="1" w:styleId="Guidelines">
    <w:name w:val="Guidelines"/>
    <w:uiPriority w:val="99"/>
    <w:rsid w:val="00386223"/>
    <w:pPr>
      <w:numPr>
        <w:numId w:val="29"/>
      </w:numPr>
    </w:pPr>
  </w:style>
  <w:style w:type="paragraph" w:styleId="ListParagraph">
    <w:name w:val="List Paragraph"/>
    <w:basedOn w:val="Normal"/>
    <w:uiPriority w:val="34"/>
    <w:qFormat/>
    <w:rsid w:val="00386223"/>
    <w:pPr>
      <w:ind w:left="720"/>
    </w:pPr>
  </w:style>
  <w:style w:type="character" w:customStyle="1" w:styleId="Heading3Char">
    <w:name w:val="Heading 3 Char"/>
    <w:basedOn w:val="DefaultParagraphFont"/>
    <w:link w:val="Heading3"/>
    <w:semiHidden/>
    <w:rsid w:val="008B2ED1"/>
    <w:rPr>
      <w:rFonts w:ascii="Cambria" w:eastAsia="Times New Roman" w:hAnsi="Cambria" w:cs="Times New Roman"/>
      <w:b/>
      <w:bCs/>
      <w:color w:val="000000"/>
      <w:kern w:val="2"/>
      <w:sz w:val="26"/>
      <w:szCs w:val="26"/>
      <w:lang w:eastAsia="ja-JP"/>
    </w:rPr>
  </w:style>
  <w:style w:type="paragraph" w:styleId="TOC3">
    <w:name w:val="toc 3"/>
    <w:basedOn w:val="Normal"/>
    <w:next w:val="Normal"/>
    <w:autoRedefine/>
    <w:uiPriority w:val="39"/>
    <w:locked/>
    <w:rsid w:val="002F432B"/>
    <w:pPr>
      <w:tabs>
        <w:tab w:val="left" w:pos="1080"/>
        <w:tab w:val="right" w:leader="dot" w:pos="9360"/>
      </w:tabs>
      <w:spacing w:after="120"/>
      <w:ind w:left="540"/>
      <w:jc w:val="left"/>
    </w:pPr>
    <w:rPr>
      <w:rFonts w:ascii="Century Schoolbook" w:hAnsi="Century Schoolbook"/>
      <w:noProof/>
      <w:sz w:val="22"/>
      <w:szCs w:val="22"/>
    </w:rPr>
  </w:style>
  <w:style w:type="paragraph" w:styleId="TOC4">
    <w:name w:val="toc 4"/>
    <w:basedOn w:val="Normal"/>
    <w:next w:val="Normal"/>
    <w:autoRedefine/>
    <w:locked/>
    <w:rsid w:val="00A233D0"/>
    <w:pPr>
      <w:ind w:left="720"/>
      <w:jc w:val="left"/>
    </w:pPr>
    <w:rPr>
      <w:rFonts w:ascii="Calibri" w:hAnsi="Calibri"/>
      <w:sz w:val="20"/>
      <w:szCs w:val="20"/>
    </w:rPr>
  </w:style>
  <w:style w:type="paragraph" w:styleId="TOC5">
    <w:name w:val="toc 5"/>
    <w:basedOn w:val="Normal"/>
    <w:next w:val="Normal"/>
    <w:autoRedefine/>
    <w:locked/>
    <w:rsid w:val="00A233D0"/>
    <w:pPr>
      <w:ind w:left="960"/>
      <w:jc w:val="left"/>
    </w:pPr>
    <w:rPr>
      <w:rFonts w:ascii="Calibri" w:hAnsi="Calibri"/>
      <w:sz w:val="20"/>
      <w:szCs w:val="20"/>
    </w:rPr>
  </w:style>
  <w:style w:type="paragraph" w:styleId="TOC6">
    <w:name w:val="toc 6"/>
    <w:basedOn w:val="Normal"/>
    <w:next w:val="Normal"/>
    <w:autoRedefine/>
    <w:locked/>
    <w:rsid w:val="00A233D0"/>
    <w:pPr>
      <w:ind w:left="1200"/>
      <w:jc w:val="left"/>
    </w:pPr>
    <w:rPr>
      <w:rFonts w:ascii="Calibri" w:hAnsi="Calibri"/>
      <w:sz w:val="20"/>
      <w:szCs w:val="20"/>
    </w:rPr>
  </w:style>
  <w:style w:type="paragraph" w:styleId="TOC7">
    <w:name w:val="toc 7"/>
    <w:basedOn w:val="Normal"/>
    <w:next w:val="Normal"/>
    <w:autoRedefine/>
    <w:locked/>
    <w:rsid w:val="00A233D0"/>
    <w:pPr>
      <w:ind w:left="1440"/>
      <w:jc w:val="left"/>
    </w:pPr>
    <w:rPr>
      <w:rFonts w:ascii="Calibri" w:hAnsi="Calibri"/>
      <w:sz w:val="20"/>
      <w:szCs w:val="20"/>
    </w:rPr>
  </w:style>
  <w:style w:type="paragraph" w:styleId="TOC8">
    <w:name w:val="toc 8"/>
    <w:basedOn w:val="Normal"/>
    <w:next w:val="Normal"/>
    <w:autoRedefine/>
    <w:locked/>
    <w:rsid w:val="00A233D0"/>
    <w:pPr>
      <w:ind w:left="1680"/>
      <w:jc w:val="left"/>
    </w:pPr>
    <w:rPr>
      <w:rFonts w:ascii="Calibri" w:hAnsi="Calibri"/>
      <w:sz w:val="20"/>
      <w:szCs w:val="20"/>
    </w:rPr>
  </w:style>
  <w:style w:type="paragraph" w:styleId="TOC9">
    <w:name w:val="toc 9"/>
    <w:basedOn w:val="Normal"/>
    <w:next w:val="Normal"/>
    <w:autoRedefine/>
    <w:locked/>
    <w:rsid w:val="00A233D0"/>
    <w:pPr>
      <w:ind w:left="1920"/>
      <w:jc w:val="left"/>
    </w:pPr>
    <w:rPr>
      <w:rFonts w:ascii="Calibri" w:hAnsi="Calibri"/>
      <w:sz w:val="20"/>
      <w:szCs w:val="2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mo\templates\Makot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AE1733-83B6-49EB-9EFC-B6717F1C3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Makoto.dot</Template>
  <TotalTime>689</TotalTime>
  <Pages>29</Pages>
  <Words>12308</Words>
  <Characters>71265</Characters>
  <Application>Microsoft Office Word</Application>
  <DocSecurity>0</DocSecurity>
  <Lines>593</Lines>
  <Paragraphs>166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vt:lpstr>
      <vt:lpstr>I</vt:lpstr>
    </vt:vector>
  </TitlesOfParts>
  <Company>Hayashi</Company>
  <LinksUpToDate>false</LinksUpToDate>
  <CharactersWithSpaces>83407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M</dc:creator>
  <cp:keywords/>
  <dc:description/>
  <cp:lastModifiedBy>Cornélia</cp:lastModifiedBy>
  <cp:revision>83</cp:revision>
  <cp:lastPrinted>2011-11-28T13:43:00Z</cp:lastPrinted>
  <dcterms:created xsi:type="dcterms:W3CDTF">2011-11-17T15:11:00Z</dcterms:created>
  <dcterms:modified xsi:type="dcterms:W3CDTF">2011-11-28T14:00:00Z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